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7FF73" w14:textId="77777777" w:rsidR="005D7A6E" w:rsidRDefault="005D7A6E" w:rsidP="005D7A6E">
      <w:pPr>
        <w:pStyle w:val="NoSpacing"/>
        <w:rPr>
          <w:b/>
        </w:rPr>
      </w:pPr>
      <w:r>
        <w:rPr>
          <w:b/>
        </w:rPr>
        <w:t>Surgery Clerkship (SURG CL)</w:t>
      </w:r>
    </w:p>
    <w:p w14:paraId="747FA462" w14:textId="77777777" w:rsidR="005D7A6E" w:rsidRPr="00D113E4" w:rsidRDefault="005D7A6E" w:rsidP="005D7A6E">
      <w:pPr>
        <w:pStyle w:val="NoSpacing"/>
      </w:pPr>
      <w:r w:rsidRPr="00A92CB1">
        <w:t>SU</w:t>
      </w:r>
      <w:r>
        <w:t xml:space="preserve"> </w:t>
      </w:r>
      <w:r w:rsidRPr="00A92CB1">
        <w:t>300</w:t>
      </w:r>
      <w:r>
        <w:t xml:space="preserve">, </w:t>
      </w:r>
      <w:r w:rsidRPr="00D113E4">
        <w:t>8 weeks</w:t>
      </w:r>
    </w:p>
    <w:p w14:paraId="5FD239FD" w14:textId="77777777" w:rsidR="005D7A6E" w:rsidRDefault="005D7A6E" w:rsidP="005D7A6E">
      <w:pPr>
        <w:pStyle w:val="NoSpacing"/>
      </w:pPr>
    </w:p>
    <w:p w14:paraId="1F077874" w14:textId="77777777" w:rsidR="005D7A6E" w:rsidRPr="001E3606" w:rsidRDefault="005D7A6E" w:rsidP="005D7A6E">
      <w:pPr>
        <w:pStyle w:val="NoSpacing"/>
        <w:rPr>
          <w:b/>
        </w:rPr>
      </w:pPr>
      <w:r>
        <w:t>The c</w:t>
      </w:r>
      <w:r w:rsidRPr="001E3606">
        <w:t>lerkship in Surgery includes eight weeks of General Surgery and Subspecialties</w:t>
      </w:r>
      <w:r>
        <w:t xml:space="preserve"> coordinated with the OB/GYN clerkship and two</w:t>
      </w:r>
      <w:r w:rsidRPr="001E3606">
        <w:t xml:space="preserve"> weeks of Flexible Clinical Experience</w:t>
      </w:r>
      <w:r>
        <w:t>s</w:t>
      </w:r>
      <w:r w:rsidRPr="001E3606">
        <w:t>.</w:t>
      </w:r>
      <w:r w:rsidRPr="001E3606">
        <w:rPr>
          <w:b/>
        </w:rPr>
        <w:t xml:space="preserve"> </w:t>
      </w:r>
      <w:r w:rsidRPr="001E3606">
        <w:t>The majority of students are assigned to the University and Memorial campuses</w:t>
      </w:r>
      <w:r>
        <w:t xml:space="preserve"> with complementary rotations at our community educational partner hospitals</w:t>
      </w:r>
      <w:r w:rsidRPr="001E3606">
        <w:t>; at St. Vincent’s Hospital, Berkshire Medical Center, and Cape Cod Hospital.</w:t>
      </w:r>
      <w:r w:rsidRPr="0030443A">
        <w:t xml:space="preserve"> </w:t>
      </w:r>
      <w:r>
        <w:t xml:space="preserve"> </w:t>
      </w:r>
      <w:r w:rsidRPr="001E3606">
        <w:t xml:space="preserve">The clerkship occurs over a not necessarily continuous period of 8 weeks as it is offered in a thematic section shared with Obstetrics and Gynecology as well </w:t>
      </w:r>
      <w:r>
        <w:t>FCE</w:t>
      </w:r>
      <w:r w:rsidRPr="001E3606">
        <w:t xml:space="preserve"> and Interstitial </w:t>
      </w:r>
      <w:r>
        <w:t>Curricula</w:t>
      </w:r>
      <w:r w:rsidRPr="001E3606">
        <w:t>.</w:t>
      </w:r>
    </w:p>
    <w:p w14:paraId="7CA4AFF0" w14:textId="77777777" w:rsidR="005D7A6E" w:rsidRPr="00354E6D" w:rsidRDefault="005D7A6E" w:rsidP="005D7A6E">
      <w:pPr>
        <w:pStyle w:val="NoSpacing"/>
      </w:pPr>
    </w:p>
    <w:p w14:paraId="54FE740F" w14:textId="77777777" w:rsidR="005D7A6E" w:rsidRPr="001E3606" w:rsidRDefault="005D7A6E" w:rsidP="005D7A6E">
      <w:pPr>
        <w:pStyle w:val="NoSpacing"/>
      </w:pPr>
      <w:r w:rsidRPr="001E3606">
        <w:t xml:space="preserve">General surgery rotations include minimally invasive surgery, colorectal surgery, acute care surgery, </w:t>
      </w:r>
      <w:proofErr w:type="spellStart"/>
      <w:r w:rsidRPr="0030443A">
        <w:t>Haidak</w:t>
      </w:r>
      <w:proofErr w:type="spellEnd"/>
      <w:r w:rsidRPr="001E3606">
        <w:t xml:space="preserve"> surgery, and surgical oncology. Elective rotations include anesthesiology, cardiac surgery, otolaryngology and head and neck surgery, neurosurgery, orthopedic surgery, pediatric surgery, plastic and reconstructive surgery, thoracic surgery, transplantation surgery, trauma surgery, urology, and vascular surgery.</w:t>
      </w:r>
    </w:p>
    <w:p w14:paraId="40B7569D" w14:textId="77777777" w:rsidR="005D7A6E" w:rsidRPr="001E3606" w:rsidRDefault="005D7A6E" w:rsidP="005D7A6E">
      <w:pPr>
        <w:pStyle w:val="NoSpacing"/>
      </w:pPr>
    </w:p>
    <w:p w14:paraId="5482A5D7" w14:textId="77777777" w:rsidR="005D7A6E" w:rsidRDefault="005D7A6E" w:rsidP="005D7A6E">
      <w:pPr>
        <w:pStyle w:val="NoSpacing"/>
      </w:pPr>
      <w:r w:rsidRPr="001E3606">
        <w:t>All students participate in a variety of activities including skills and educational sessions, outpatient clinic duties, conferences, journal clubs, flexible clinical experiences, humanism program and mentor groups.  They are also introduced to rotating in t</w:t>
      </w:r>
      <w:r w:rsidRPr="0030443A">
        <w:t xml:space="preserve">he operating room, on the wards, in the clinics </w:t>
      </w:r>
      <w:r>
        <w:t>and in the emergency department.</w:t>
      </w:r>
    </w:p>
    <w:p w14:paraId="33211D05" w14:textId="77777777" w:rsidR="005D7A6E" w:rsidRDefault="005D7A6E" w:rsidP="005D7A6E">
      <w:pPr>
        <w:pStyle w:val="NoSpacing"/>
      </w:pPr>
    </w:p>
    <w:p w14:paraId="18632295" w14:textId="77777777" w:rsidR="005D7A6E" w:rsidRDefault="005D7A6E" w:rsidP="005D7A6E">
      <w:pPr>
        <w:pStyle w:val="NoSpacing"/>
      </w:pPr>
      <w:r>
        <w:t>After SU-300, the MS3 will be able to:</w:t>
      </w:r>
    </w:p>
    <w:p w14:paraId="2E3278D5"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I</w:t>
      </w:r>
      <w:r w:rsidRPr="00476E88">
        <w:rPr>
          <w:rFonts w:eastAsia="Times New Roman" w:cs="Calibri"/>
          <w:color w:val="000000"/>
        </w:rPr>
        <w:t>dentify surgical disease in a variety of settings including the outpatient clinic, the emergency ward, the inpatient ward, the intensive care unit, and the operating room through systematic and detailed but problem focused compilation of a history, systematic and detailed but problem focused physical examination, formulation of a plan of laboratory and radiological workup, formulating a differential diagnosis, and outlining a treatment plan</w:t>
      </w:r>
    </w:p>
    <w:p w14:paraId="615260E3"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M</w:t>
      </w:r>
      <w:r w:rsidRPr="00476E88">
        <w:rPr>
          <w:rFonts w:eastAsia="Times New Roman" w:cs="Calibri"/>
          <w:color w:val="000000"/>
        </w:rPr>
        <w:t>aster the relevant basic science principles as applied to clinical surgery including management of fluid and electrolyte abnormalities, acid and base disorders, shock and the principles of transfusion, wound management and infection control, nutritional management including enteral and parenteral nutrition, preoperative patient preparation, postoperative management including the prevention and detection of complications, and surgical drains and their principles</w:t>
      </w:r>
    </w:p>
    <w:p w14:paraId="305BD8AE"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E</w:t>
      </w:r>
      <w:r w:rsidRPr="00476E88">
        <w:rPr>
          <w:rFonts w:eastAsia="Times New Roman" w:cs="Calibri"/>
          <w:color w:val="000000"/>
        </w:rPr>
        <w:t>valuate the most common conditions seen in general surgery such as Abdominal Masses, Abdominal Pain, Abdominal Wall Defects and Groin Masses, Breast Pain, Lumps, Nipple Discharge, and Mammographic Abnormalities, GI Hemorrhage (Upper and Lower), GI Symptoms (Diarrhea, Vomiting, Constipation), Jaundice, Neck Masses (Thyroid, Parathyroid and Lymph Nodes), Perianal Problems, Scrotal Pain and Swelling, and Skin and Soft tissue Lesions</w:t>
      </w:r>
    </w:p>
    <w:p w14:paraId="4E945A7C"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M</w:t>
      </w:r>
      <w:r w:rsidRPr="00476E88">
        <w:rPr>
          <w:rFonts w:eastAsia="Times New Roman" w:cs="Calibri"/>
          <w:color w:val="000000"/>
        </w:rPr>
        <w:t xml:space="preserve">aster the specific areas as outlined in Appendix I and demonstrate knowledge of pathogenesis, key physical exam findings, differential diagnosis, and basic management of these areas  </w:t>
      </w:r>
    </w:p>
    <w:p w14:paraId="2C6027A2"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M</w:t>
      </w:r>
      <w:r w:rsidRPr="00476E88">
        <w:rPr>
          <w:rFonts w:eastAsia="Times New Roman" w:cs="Calibri"/>
          <w:color w:val="000000"/>
        </w:rPr>
        <w:t>aster basic surgical procedures and relevant anatomical relationships for each procedure including Phlebotomy, IV Placement, Placement and Removal of Skin Staples / Sutures or Tissue Adhesives, Placement and Care of Foley Catheter, Drain Care on the floor, Placement and Removal of Nasogastric Tubes, and Dressing Changes</w:t>
      </w:r>
    </w:p>
    <w:p w14:paraId="7FDD2A7E"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R</w:t>
      </w:r>
      <w:r w:rsidRPr="00476E88">
        <w:rPr>
          <w:rFonts w:eastAsia="Times New Roman" w:cs="Calibri"/>
          <w:color w:val="000000"/>
        </w:rPr>
        <w:t>eview basic skills and techniques of laparoscopic surgery including the basic principles of equipment use and troubleshooting, patient preparation, special physiologic and anesthesia considerations, indications and contraindications, use of the thirty degree camera, and proprioception in the laparoscopic environment</w:t>
      </w:r>
    </w:p>
    <w:p w14:paraId="62B43043"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lastRenderedPageBreak/>
        <w:t>R</w:t>
      </w:r>
      <w:r w:rsidRPr="00476E88">
        <w:rPr>
          <w:rFonts w:eastAsia="Times New Roman" w:cs="Calibri"/>
          <w:color w:val="000000"/>
        </w:rPr>
        <w:t>eview anatomy within a surgical context by participating in a number</w:t>
      </w:r>
      <w:r>
        <w:rPr>
          <w:rFonts w:eastAsia="Times New Roman" w:cs="Calibri"/>
          <w:color w:val="000000"/>
        </w:rPr>
        <w:t xml:space="preserve"> </w:t>
      </w:r>
      <w:r w:rsidRPr="00476E88">
        <w:rPr>
          <w:rFonts w:eastAsia="Times New Roman" w:cs="Calibri"/>
          <w:color w:val="000000"/>
        </w:rPr>
        <w:t>of didactic and laboratory sessions using cadaver specimens to focus on the thorax, abdomen, pelvis, head and neck, and extremitie</w:t>
      </w:r>
      <w:r>
        <w:rPr>
          <w:rFonts w:eastAsia="Times New Roman" w:cs="Calibri"/>
          <w:color w:val="000000"/>
        </w:rPr>
        <w:t>s</w:t>
      </w:r>
    </w:p>
    <w:p w14:paraId="35AC6A5C"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Acquire a knowledge of the</w:t>
      </w:r>
      <w:r w:rsidRPr="00476E88">
        <w:rPr>
          <w:rFonts w:eastAsia="Times New Roman" w:cs="Calibri"/>
          <w:color w:val="000000"/>
        </w:rPr>
        <w:t xml:space="preserve"> basic principles of pediatric surgery including pre- and post- operative fluid requirements, common causes of abdominal pain in children, the unique patterns of injury in pediatric trauma patients, identification of the most common causes and management of neonatal intestinal obstruction, GI Bleeding, and common solid tumors in children</w:t>
      </w:r>
    </w:p>
    <w:p w14:paraId="3279141A"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Recall the</w:t>
      </w:r>
      <w:r w:rsidRPr="00476E88">
        <w:rPr>
          <w:rFonts w:eastAsia="Times New Roman" w:cs="Calibri"/>
          <w:color w:val="000000"/>
        </w:rPr>
        <w:t xml:space="preserve"> basic principles of transplantation surgery including the basic concepts of abdominal transplantation, the post</w:t>
      </w:r>
      <w:r>
        <w:rPr>
          <w:rFonts w:eastAsia="Times New Roman" w:cs="Calibri"/>
          <w:color w:val="000000"/>
        </w:rPr>
        <w:t>-</w:t>
      </w:r>
      <w:r w:rsidRPr="00476E88">
        <w:rPr>
          <w:rFonts w:eastAsia="Times New Roman" w:cs="Calibri"/>
          <w:color w:val="000000"/>
        </w:rPr>
        <w:t xml:space="preserve">operative management of transplant surgical patients and concepts including immunosuppression, the post-operative care of the transplant patient, and transplant infections </w:t>
      </w:r>
      <w:r>
        <w:rPr>
          <w:rFonts w:eastAsia="Times New Roman" w:cs="Calibri"/>
          <w:color w:val="000000"/>
        </w:rPr>
        <w:t xml:space="preserve"> </w:t>
      </w:r>
    </w:p>
    <w:p w14:paraId="6A050AA0"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 xml:space="preserve">Identify the </w:t>
      </w:r>
      <w:r w:rsidRPr="00E15CC3">
        <w:rPr>
          <w:rFonts w:eastAsia="Times New Roman" w:cs="Calibri"/>
          <w:color w:val="000000"/>
        </w:rPr>
        <w:t xml:space="preserve"> basic principles of trauma surgery using the Trauma Evaluation and Management Program of the American College of Surgeons including rapid, accurate, and physiologic assessment of the patient’s condition, resuscitation, stabilization, and monitoring of the patient, and preparation for inter</w:t>
      </w:r>
      <w:r>
        <w:rPr>
          <w:rFonts w:eastAsia="Times New Roman" w:cs="Calibri"/>
          <w:color w:val="000000"/>
        </w:rPr>
        <w:t>-</w:t>
      </w:r>
      <w:r w:rsidRPr="00E15CC3">
        <w:rPr>
          <w:rFonts w:eastAsia="Times New Roman" w:cs="Calibri"/>
          <w:color w:val="000000"/>
        </w:rPr>
        <w:t>hospital transfer by describing the principles of initial assessment and management, identifying the correct sequence of priorities in the multiply injured patient, describing the guidelines and techniques used in initial resuscitation and definitive care phases of treatment,  identifying how medical history and injury mechanism can contribute to diagnosis of injuries, and identifying the concepts related to teamwork in caring for the trauma patient</w:t>
      </w:r>
    </w:p>
    <w:p w14:paraId="5E758C84"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Recall</w:t>
      </w:r>
      <w:r w:rsidRPr="00E15CC3">
        <w:rPr>
          <w:rFonts w:eastAsia="Times New Roman" w:cs="Calibri"/>
          <w:color w:val="000000"/>
        </w:rPr>
        <w:t xml:space="preserve"> the basic principles of plastic surgery and relevant anatomy, pathogenesis, and management of facial lacerations, facial fractures,</w:t>
      </w:r>
      <w:r>
        <w:rPr>
          <w:rFonts w:eastAsia="Times New Roman" w:cs="Calibri"/>
          <w:color w:val="000000"/>
        </w:rPr>
        <w:t xml:space="preserve"> </w:t>
      </w:r>
      <w:r w:rsidRPr="00E15CC3">
        <w:rPr>
          <w:rFonts w:eastAsia="Times New Roman" w:cs="Calibri"/>
          <w:color w:val="000000"/>
        </w:rPr>
        <w:t>breast reconstruction, surgical management of lower extremity wounds, diagnosis and treatment of hand lacerations, fractures, infections, common hand problems, and skin cancers</w:t>
      </w:r>
    </w:p>
    <w:p w14:paraId="5E9C8F79"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Summarize</w:t>
      </w:r>
      <w:r w:rsidRPr="00E15CC3">
        <w:rPr>
          <w:rFonts w:eastAsia="Times New Roman" w:cs="Calibri"/>
          <w:color w:val="000000"/>
        </w:rPr>
        <w:t xml:space="preserve"> the basic principles of vascular surgery including pathogenesis and management of the common vascular disease entities, develop a recognition for the ill patient who urgently needs operative attention, become familiar with the expected clinical course for patients undergoing common vascular operations, and attain proficiency in the management of the vascular patient on the ward</w:t>
      </w:r>
    </w:p>
    <w:p w14:paraId="373907E6"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Apply</w:t>
      </w:r>
      <w:r w:rsidRPr="00E15CC3">
        <w:rPr>
          <w:rFonts w:eastAsia="Times New Roman" w:cs="Calibri"/>
          <w:color w:val="000000"/>
        </w:rPr>
        <w:t xml:space="preserve"> the basic principles of human factors to surgery</w:t>
      </w:r>
      <w:r>
        <w:rPr>
          <w:rFonts w:eastAsia="Times New Roman" w:cs="Calibri"/>
          <w:color w:val="000000"/>
        </w:rPr>
        <w:t xml:space="preserve"> after </w:t>
      </w:r>
      <w:r w:rsidRPr="00E15CC3">
        <w:rPr>
          <w:rFonts w:eastAsia="Times New Roman" w:cs="Calibri"/>
          <w:color w:val="000000"/>
        </w:rPr>
        <w:t>spend</w:t>
      </w:r>
      <w:r>
        <w:rPr>
          <w:rFonts w:eastAsia="Times New Roman" w:cs="Calibri"/>
          <w:color w:val="000000"/>
        </w:rPr>
        <w:t>ing</w:t>
      </w:r>
      <w:r w:rsidRPr="00E15CC3">
        <w:rPr>
          <w:rFonts w:eastAsia="Times New Roman" w:cs="Calibri"/>
          <w:color w:val="000000"/>
        </w:rPr>
        <w:t xml:space="preserve"> one day with faculty of the University of Massachusetts Medical School Center for Clinical Communication and Performance Outcomes honing skills in oral presentations, surgical clinical decision making, empathy and caring including managing anxiety and delivering bad news, and understanding the role of the surgical clerk including management of time and working with the team</w:t>
      </w:r>
    </w:p>
    <w:p w14:paraId="21F0CE76" w14:textId="77777777" w:rsidR="005D7A6E" w:rsidRDefault="005D7A6E" w:rsidP="005D7A6E">
      <w:pPr>
        <w:numPr>
          <w:ilvl w:val="0"/>
          <w:numId w:val="1"/>
        </w:numPr>
        <w:spacing w:after="0" w:line="240" w:lineRule="auto"/>
        <w:rPr>
          <w:rFonts w:eastAsia="Times New Roman" w:cs="Calibri"/>
          <w:color w:val="000000"/>
        </w:rPr>
      </w:pPr>
      <w:r>
        <w:rPr>
          <w:rFonts w:eastAsia="Times New Roman" w:cs="Calibri"/>
          <w:color w:val="000000"/>
        </w:rPr>
        <w:t>Use</w:t>
      </w:r>
      <w:r w:rsidRPr="00E15CC3">
        <w:rPr>
          <w:rFonts w:eastAsia="Times New Roman" w:cs="Calibri"/>
          <w:color w:val="000000"/>
        </w:rPr>
        <w:t xml:space="preserve"> the criteria for obtaining informed consent of a patient to consent to surgical procedures</w:t>
      </w:r>
    </w:p>
    <w:p w14:paraId="2E2D386B" w14:textId="77777777" w:rsidR="005D7A6E" w:rsidRPr="00476E88" w:rsidRDefault="005D7A6E" w:rsidP="005D7A6E">
      <w:pPr>
        <w:numPr>
          <w:ilvl w:val="0"/>
          <w:numId w:val="1"/>
        </w:numPr>
        <w:spacing w:after="0" w:line="240" w:lineRule="auto"/>
        <w:rPr>
          <w:rFonts w:eastAsia="Times New Roman" w:cs="Calibri"/>
          <w:color w:val="000000"/>
        </w:rPr>
      </w:pPr>
      <w:r>
        <w:rPr>
          <w:rFonts w:eastAsia="Times New Roman" w:cs="Calibri"/>
          <w:color w:val="000000"/>
        </w:rPr>
        <w:t>D</w:t>
      </w:r>
      <w:r w:rsidRPr="00E15CC3">
        <w:rPr>
          <w:rFonts w:eastAsia="Times New Roman" w:cs="Calibri"/>
          <w:color w:val="000000"/>
        </w:rPr>
        <w:t>emonstrate skills in the interpretation of radiologic images as applied to surgery including the common entities found in Appendix I</w:t>
      </w:r>
    </w:p>
    <w:p w14:paraId="17DA3984" w14:textId="77777777" w:rsidR="005D7A6E" w:rsidRPr="0030443A" w:rsidRDefault="005D7A6E" w:rsidP="005D7A6E">
      <w:pPr>
        <w:pStyle w:val="NoSpacing"/>
      </w:pPr>
    </w:p>
    <w:p w14:paraId="29DD2BDC" w14:textId="77777777" w:rsidR="005D7A6E" w:rsidRPr="0030443A" w:rsidRDefault="005D7A6E" w:rsidP="005D7A6E">
      <w:pPr>
        <w:pStyle w:val="NoSpacing"/>
      </w:pPr>
      <w:r>
        <w:t>Student competency is assessed through</w:t>
      </w:r>
      <w:r w:rsidRPr="00CC2EBC">
        <w:t xml:space="preserve"> clinical performance as evaluated by faculty and residents (40%), oral examination (20%), NBME written examination (20%), and the Objective Structured Clinical Examination – OSCE (20%). </w:t>
      </w:r>
    </w:p>
    <w:p w14:paraId="24E86586" w14:textId="77777777" w:rsidR="005D7A6E" w:rsidRDefault="005D7A6E" w:rsidP="005D7A6E">
      <w:pPr>
        <w:pStyle w:val="NoSpacing"/>
      </w:pPr>
    </w:p>
    <w:p w14:paraId="028B8DEA" w14:textId="77777777" w:rsidR="005D7A6E" w:rsidRPr="00296EFA" w:rsidRDefault="005D7A6E" w:rsidP="005D7A6E">
      <w:pPr>
        <w:pStyle w:val="NoSpacing"/>
        <w:rPr>
          <w:b/>
        </w:rPr>
      </w:pPr>
      <w:r>
        <w:rPr>
          <w:b/>
        </w:rPr>
        <w:t>Clerkship Director</w:t>
      </w:r>
    </w:p>
    <w:p w14:paraId="3ED00161" w14:textId="3312152D" w:rsidR="005D7A6E" w:rsidRPr="004E53FA" w:rsidRDefault="004E53FA" w:rsidP="004E53FA">
      <w:pPr>
        <w:spacing w:after="0" w:line="240" w:lineRule="auto"/>
        <w:rPr>
          <w:rFonts w:eastAsia="Times New Roman" w:cs="Calibri"/>
        </w:rPr>
      </w:pPr>
      <w:r w:rsidRPr="004E53FA">
        <w:rPr>
          <w:rFonts w:ascii="Arial" w:eastAsia="Times New Roman" w:hAnsi="Arial" w:cs="Arial"/>
          <w:color w:val="2F5496"/>
        </w:rPr>
        <w:t>James Carroll</w:t>
      </w:r>
      <w:bookmarkStart w:id="0" w:name="_GoBack"/>
      <w:bookmarkEnd w:id="0"/>
      <w:r w:rsidR="005D7A6E">
        <w:t>, MD</w:t>
      </w:r>
    </w:p>
    <w:p w14:paraId="339FB0FD" w14:textId="77777777" w:rsidR="00675993" w:rsidRDefault="00675993"/>
    <w:sectPr w:rsidR="00675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3071"/>
    <w:multiLevelType w:val="hybridMultilevel"/>
    <w:tmpl w:val="3A86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6E"/>
    <w:rsid w:val="004E53FA"/>
    <w:rsid w:val="005D7A6E"/>
    <w:rsid w:val="0067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F14E"/>
  <w15:chartTrackingRefBased/>
  <w15:docId w15:val="{3B70C8A7-1BEB-4BCC-8594-3D6224C8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A6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A6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Gail March</dc:creator>
  <cp:keywords/>
  <dc:description/>
  <cp:lastModifiedBy>Cohen, Gail March</cp:lastModifiedBy>
  <cp:revision>2</cp:revision>
  <dcterms:created xsi:type="dcterms:W3CDTF">2021-01-12T20:18:00Z</dcterms:created>
  <dcterms:modified xsi:type="dcterms:W3CDTF">2021-01-12T20:18:00Z</dcterms:modified>
</cp:coreProperties>
</file>