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0FBA" w14:textId="39F1EE74" w:rsidR="007A7259" w:rsidRDefault="007A7259" w:rsidP="007A7259">
      <w:pPr>
        <w:rPr>
          <w:b/>
          <w:bCs/>
        </w:rPr>
      </w:pPr>
      <w:r w:rsidRPr="00B46D7B">
        <w:rPr>
          <w:b/>
          <w:bCs/>
        </w:rPr>
        <w:t xml:space="preserve">“Tobacco Treatment Specialist Training during a Pandemic: </w:t>
      </w:r>
      <w:r w:rsidR="00881AE8">
        <w:rPr>
          <w:b/>
          <w:bCs/>
        </w:rPr>
        <w:t xml:space="preserve">Successfully </w:t>
      </w:r>
      <w:r w:rsidRPr="00B46D7B">
        <w:rPr>
          <w:b/>
          <w:bCs/>
        </w:rPr>
        <w:t xml:space="preserve">Moving to a Virtual Format” </w:t>
      </w:r>
    </w:p>
    <w:p w14:paraId="00397254" w14:textId="5EC5ED5A" w:rsidR="00416B2F" w:rsidRPr="00416B2F" w:rsidRDefault="00416B2F" w:rsidP="00416B2F">
      <w:r w:rsidRPr="00416B2F">
        <w:t>Caroline Cranos, MPH, NCTTP; Karen Costas, MPH; Christine Frisard, MS; Lori Pbert, PhD</w:t>
      </w:r>
      <w:r>
        <w:br/>
        <w:t>University of Massachusetts Chan Medical School</w:t>
      </w:r>
      <w:r>
        <w:br/>
        <w:t>Center for Tobacco Treatment Research &amp; Training</w:t>
      </w:r>
      <w:r>
        <w:br/>
        <w:t>Worcester, MA 01655</w:t>
      </w:r>
      <w:r>
        <w:br/>
        <w:t xml:space="preserve">Website: </w:t>
      </w:r>
      <w:hyperlink r:id="rId8" w:history="1">
        <w:r w:rsidRPr="001D018A">
          <w:rPr>
            <w:rStyle w:val="Hyperlink"/>
          </w:rPr>
          <w:t>www.umassmed.edu/tobacco</w:t>
        </w:r>
      </w:hyperlink>
      <w:r>
        <w:t xml:space="preserve"> </w:t>
      </w:r>
      <w:r>
        <w:br/>
        <w:t xml:space="preserve">Email: </w:t>
      </w:r>
      <w:hyperlink r:id="rId9" w:history="1">
        <w:r w:rsidRPr="001D018A">
          <w:rPr>
            <w:rStyle w:val="Hyperlink"/>
          </w:rPr>
          <w:t>caroline.cranos@umassmed.edu</w:t>
        </w:r>
      </w:hyperlink>
      <w:r>
        <w:t xml:space="preserve"> </w:t>
      </w:r>
    </w:p>
    <w:p w14:paraId="1155B295" w14:textId="77777777" w:rsidR="00416B2F" w:rsidRPr="00B46D7B" w:rsidRDefault="00416B2F" w:rsidP="007A7259">
      <w:pPr>
        <w:rPr>
          <w:b/>
          <w:bCs/>
        </w:rPr>
      </w:pPr>
    </w:p>
    <w:p w14:paraId="23507147" w14:textId="63086C9B" w:rsidR="00AD64BD" w:rsidRDefault="0015591B" w:rsidP="00AD64BD">
      <w:pPr>
        <w:rPr>
          <w:b/>
          <w:bCs/>
        </w:rPr>
      </w:pPr>
      <w:r>
        <w:rPr>
          <w:b/>
          <w:bCs/>
        </w:rPr>
        <w:t>Introduction</w:t>
      </w:r>
    </w:p>
    <w:p w14:paraId="601672A7" w14:textId="1E042061" w:rsidR="00AD64BD" w:rsidRPr="00AD64BD" w:rsidRDefault="00657E6A" w:rsidP="00AD64BD">
      <w:r>
        <w:t xml:space="preserve">The </w:t>
      </w:r>
      <w:r w:rsidR="00AD64BD" w:rsidRPr="00AD64BD">
        <w:t>UMass Center for Tobacco Treatment Research and Training (CTTRT) hosts Tobacco Treatment Specialist (TTS) training, accredited through the Council of Tobacco Treatment Training Programs (CTTTP).</w:t>
      </w:r>
      <w:r w:rsidR="00AD64BD">
        <w:t xml:space="preserve"> </w:t>
      </w:r>
      <w:r w:rsidR="00E34CCC">
        <w:t>Since 1999 our TTS training program has been held over 175 times in the United States</w:t>
      </w:r>
      <w:r w:rsidR="00D80039">
        <w:t xml:space="preserve"> (22 different states)</w:t>
      </w:r>
      <w:r w:rsidR="00E34CCC">
        <w:t>, Canada, and Saudi Arabia</w:t>
      </w:r>
      <w:r w:rsidR="0015591B">
        <w:t>;</w:t>
      </w:r>
      <w:r w:rsidR="00E34CCC">
        <w:t xml:space="preserve"> and over </w:t>
      </w:r>
      <w:r w:rsidR="00D80039">
        <w:t>3,700 individuals have attended one of our TTS trainings.</w:t>
      </w:r>
    </w:p>
    <w:p w14:paraId="677216E0" w14:textId="27296994" w:rsidR="00E34CCC" w:rsidRDefault="00E34CCC" w:rsidP="00E34CCC">
      <w:r>
        <w:t>Our TTS training is a hybrid design: 10 hours of the course</w:t>
      </w:r>
      <w:r w:rsidR="00F37A0A">
        <w:t xml:space="preserve">, </w:t>
      </w:r>
      <w:r>
        <w:t>TTS Part 1</w:t>
      </w:r>
      <w:r w:rsidR="00803A82">
        <w:t>,</w:t>
      </w:r>
      <w:r>
        <w:t xml:space="preserve"> are available to trainees via an online learning platform, Blackboard Learn. This asynchronous, self-paced course must be completed before trainees attend the in-person TTS Part 2 component of the course. TTS Part 2 is a three</w:t>
      </w:r>
      <w:r w:rsidR="0015591B">
        <w:t>-</w:t>
      </w:r>
      <w:r>
        <w:t>day, 21</w:t>
      </w:r>
      <w:r w:rsidR="00E65E84">
        <w:t>-</w:t>
      </w:r>
      <w:r>
        <w:t xml:space="preserve">hour training with a focus on developing counseling skills, learning about pharmacotherapy, conducting an intake and assessment interview, and completing a case study exercise. There are several small </w:t>
      </w:r>
      <w:proofErr w:type="gramStart"/>
      <w:r>
        <w:t>group</w:t>
      </w:r>
      <w:proofErr w:type="gramEnd"/>
      <w:r>
        <w:t xml:space="preserve"> exercises each day, </w:t>
      </w:r>
      <w:r w:rsidR="00B6568E">
        <w:t xml:space="preserve">and there is usually a great deal of interaction among participants and between the trainees and presenters. </w:t>
      </w:r>
    </w:p>
    <w:p w14:paraId="6ACA4963" w14:textId="11F6C851" w:rsidR="00E34CCC" w:rsidRDefault="00B6568E" w:rsidP="00E34CCC">
      <w:r>
        <w:t>We had a training scheduled for April 2020, but i</w:t>
      </w:r>
      <w:r w:rsidR="00E34CCC">
        <w:t>n March</w:t>
      </w:r>
      <w:r w:rsidR="00B06F56">
        <w:t xml:space="preserve"> UMass Chan Medical School enacted in-person meeting and teaching restrictions due to the COVID pandemic. </w:t>
      </w:r>
      <w:r w:rsidR="00E34CCC">
        <w:t>As 1</w:t>
      </w:r>
      <w:r w:rsidR="00B06F56">
        <w:t>0</w:t>
      </w:r>
      <w:r w:rsidR="00E34CCC">
        <w:t xml:space="preserve"> hours of our TTS training were already delivered online asynchronously via an online learning application, we quickly made the decision to use Zoom, through our university’s account, to conduct the remaining 2</w:t>
      </w:r>
      <w:r w:rsidR="0015591B">
        <w:t>1</w:t>
      </w:r>
      <w:r w:rsidR="00E34CCC">
        <w:t xml:space="preserve"> hours of live, synchronous training virtually – the first accredited program to move an in-person training to a virtual setting due to COVID.</w:t>
      </w:r>
    </w:p>
    <w:p w14:paraId="31B222B2" w14:textId="420299FF" w:rsidR="00AD64BD" w:rsidRPr="00AD64BD" w:rsidRDefault="00EA3D96" w:rsidP="00AD64BD">
      <w:r>
        <w:t>Twenty-five individuals had</w:t>
      </w:r>
      <w:r w:rsidR="00AD64BD">
        <w:t xml:space="preserve"> registered for the training: 11 from Massachusetts, 7 from neighboring states in New England, and 7 from other states. We contacted registered individuals and gave them 3 options: 1. Attend the virtual training, 2. Reschedule to a future training, or 3. Cancel and receive a full refund. </w:t>
      </w:r>
      <w:r w:rsidR="002F5755">
        <w:t xml:space="preserve">Sixteen (16) chose to take the virtual training </w:t>
      </w:r>
      <w:r w:rsidR="0015591B">
        <w:t>scheduled for the original dates of training</w:t>
      </w:r>
      <w:r w:rsidR="002F5755">
        <w:t xml:space="preserve">, 7 wanted to transfer to a later date in hope that it would be offered in-person at that time, and 2 cancelled and requested a refund. </w:t>
      </w:r>
    </w:p>
    <w:p w14:paraId="67817C1E" w14:textId="1AD60829" w:rsidR="009E27A8" w:rsidRDefault="007339F3" w:rsidP="007A7259">
      <w:r>
        <w:t>Presenters</w:t>
      </w:r>
      <w:r w:rsidR="00F226AA">
        <w:t xml:space="preserve"> were trained in the use</w:t>
      </w:r>
      <w:r w:rsidR="00F91EA9">
        <w:t xml:space="preserve"> Zoom features including</w:t>
      </w:r>
      <w:r w:rsidR="00F226AA">
        <w:t xml:space="preserve"> breakout rooms</w:t>
      </w:r>
      <w:r w:rsidR="00F91EA9">
        <w:t xml:space="preserve">, </w:t>
      </w:r>
      <w:r w:rsidR="00F226AA">
        <w:t>chat</w:t>
      </w:r>
      <w:r w:rsidR="00F91EA9">
        <w:t>,</w:t>
      </w:r>
      <w:r w:rsidR="00F226AA">
        <w:t xml:space="preserve"> and polling</w:t>
      </w:r>
      <w:r w:rsidR="00F91EA9">
        <w:t xml:space="preserve">. </w:t>
      </w:r>
      <w:r w:rsidR="00E37F98">
        <w:t xml:space="preserve">Staff worked with presenters to </w:t>
      </w:r>
      <w:r w:rsidR="00BA6B94">
        <w:t>optimize</w:t>
      </w:r>
      <w:r w:rsidR="00E37F98">
        <w:t xml:space="preserve"> the use of breakout rooms for small discussions</w:t>
      </w:r>
      <w:r w:rsidR="00BA6B94">
        <w:t>, counseling practice, and developing a case study report</w:t>
      </w:r>
      <w:r w:rsidR="00E37F98">
        <w:t xml:space="preserve">. </w:t>
      </w:r>
      <w:r w:rsidR="00BA6B94">
        <w:t>All exercises</w:t>
      </w:r>
      <w:r w:rsidR="008A6D1A">
        <w:t xml:space="preserve"> and </w:t>
      </w:r>
      <w:r w:rsidR="00BA6B94">
        <w:t xml:space="preserve">practices on the in-person agenda were adapted to the virtual format. </w:t>
      </w:r>
      <w:r w:rsidR="000A0F1D">
        <w:t xml:space="preserve">Polling was used to </w:t>
      </w:r>
      <w:r w:rsidR="00BA6B94">
        <w:t>ascertain</w:t>
      </w:r>
      <w:r w:rsidR="000A0F1D">
        <w:t xml:space="preserve"> participants’ </w:t>
      </w:r>
      <w:proofErr w:type="gramStart"/>
      <w:r w:rsidR="00C82ABD">
        <w:t xml:space="preserve">past </w:t>
      </w:r>
      <w:r w:rsidR="000A0F1D">
        <w:t>experience</w:t>
      </w:r>
      <w:proofErr w:type="gramEnd"/>
      <w:r w:rsidR="000A0F1D">
        <w:t xml:space="preserve"> with tobacco treatment</w:t>
      </w:r>
      <w:r w:rsidR="00BA6B94">
        <w:t xml:space="preserve"> and as knowledge checks during the presentations</w:t>
      </w:r>
      <w:r w:rsidR="000A0F1D">
        <w:t>. The Zoom chat feature was used to encourage participant input and questions during delivery of</w:t>
      </w:r>
      <w:r w:rsidR="002F0605">
        <w:t xml:space="preserve"> training</w:t>
      </w:r>
      <w:r w:rsidR="000A0F1D">
        <w:t xml:space="preserve"> modules. </w:t>
      </w:r>
    </w:p>
    <w:p w14:paraId="4BDAE3F7" w14:textId="77777777" w:rsidR="008A6D1A" w:rsidRDefault="008A6D1A" w:rsidP="008A6D1A">
      <w:r>
        <w:lastRenderedPageBreak/>
        <w:t>Our initial virtual training was highly successful:</w:t>
      </w:r>
    </w:p>
    <w:p w14:paraId="276867D4" w14:textId="77777777" w:rsidR="008A6D1A" w:rsidRDefault="008A6D1A" w:rsidP="008A6D1A">
      <w:pPr>
        <w:pStyle w:val="ListParagraph"/>
        <w:numPr>
          <w:ilvl w:val="0"/>
          <w:numId w:val="3"/>
        </w:numPr>
      </w:pPr>
      <w:r>
        <w:t xml:space="preserve">100% of participants reported that the training increased their ability to deliver tobacco treatment services “a great deal.” </w:t>
      </w:r>
    </w:p>
    <w:p w14:paraId="6B63F579" w14:textId="4385232D" w:rsidR="008A6D1A" w:rsidRPr="00881AE8" w:rsidRDefault="008A6D1A" w:rsidP="008A6D1A">
      <w:pPr>
        <w:pStyle w:val="ListParagraph"/>
        <w:numPr>
          <w:ilvl w:val="0"/>
          <w:numId w:val="3"/>
        </w:numPr>
      </w:pPr>
      <w:r>
        <w:t>100% were satisfied with the use of Zoom. (</w:t>
      </w:r>
      <w:r w:rsidR="00DA353E">
        <w:t xml:space="preserve">e.g., </w:t>
      </w:r>
      <w:r>
        <w:t>“</w:t>
      </w:r>
      <w:r w:rsidRPr="00881AE8">
        <w:rPr>
          <w:rFonts w:ascii="Calibri" w:eastAsia="Times New Roman" w:hAnsi="Calibri" w:cs="Calibri"/>
          <w:color w:val="000000"/>
        </w:rPr>
        <w:t>I loved the format of the virtual training. The breaks at the top of every hour helped to keep us engaged</w:t>
      </w:r>
      <w:r>
        <w:rPr>
          <w:rFonts w:ascii="Calibri" w:eastAsia="Times New Roman" w:hAnsi="Calibri" w:cs="Calibri"/>
          <w:color w:val="000000"/>
        </w:rPr>
        <w:t>,</w:t>
      </w:r>
      <w:r w:rsidRPr="00881AE8">
        <w:rPr>
          <w:rFonts w:ascii="Calibri" w:eastAsia="Times New Roman" w:hAnsi="Calibri" w:cs="Calibri"/>
          <w:color w:val="000000"/>
        </w:rPr>
        <w:t xml:space="preserve"> and the use of breakout rooms and interactive activities helped the material and information stick</w:t>
      </w:r>
      <w:r>
        <w:rPr>
          <w:rFonts w:ascii="Calibri" w:eastAsia="Times New Roman" w:hAnsi="Calibri" w:cs="Calibri"/>
          <w:color w:val="000000"/>
        </w:rPr>
        <w:t>.”)</w:t>
      </w:r>
      <w:r w:rsidRPr="00881AE8">
        <w:rPr>
          <w:rFonts w:ascii="Calibri" w:eastAsia="Times New Roman" w:hAnsi="Calibri" w:cs="Calibri"/>
          <w:color w:val="000000"/>
        </w:rPr>
        <w:t xml:space="preserve"> </w:t>
      </w:r>
    </w:p>
    <w:p w14:paraId="74CD0B67" w14:textId="77777777" w:rsidR="008A6D1A" w:rsidRDefault="008A6D1A" w:rsidP="008A6D1A">
      <w:pPr>
        <w:pStyle w:val="ListParagraph"/>
        <w:numPr>
          <w:ilvl w:val="0"/>
          <w:numId w:val="3"/>
        </w:numPr>
      </w:pPr>
      <w:r>
        <w:t>95% reported “excellent” rapport with instructors.</w:t>
      </w:r>
    </w:p>
    <w:p w14:paraId="793B76B6" w14:textId="77777777" w:rsidR="008A6D1A" w:rsidRDefault="008A6D1A" w:rsidP="008A6D1A">
      <w:pPr>
        <w:pStyle w:val="ListParagraph"/>
        <w:numPr>
          <w:ilvl w:val="0"/>
          <w:numId w:val="3"/>
        </w:numPr>
      </w:pPr>
      <w:r>
        <w:t>Exam scores were high; the mean exam score of this first virtual group was the same as the mean score of CTTRT participants in 2019 who participated in in-person training.</w:t>
      </w:r>
    </w:p>
    <w:p w14:paraId="4EB3C6E5" w14:textId="3D13DF6B" w:rsidR="008A6D1A" w:rsidRDefault="008A6D1A" w:rsidP="007A7259">
      <w:pPr>
        <w:rPr>
          <w:b/>
          <w:bCs/>
        </w:rPr>
      </w:pPr>
      <w:r>
        <w:rPr>
          <w:b/>
          <w:bCs/>
        </w:rPr>
        <w:t>Methods</w:t>
      </w:r>
    </w:p>
    <w:p w14:paraId="3ED40FC6" w14:textId="77777777" w:rsidR="008A6D1A" w:rsidRDefault="008A6D1A" w:rsidP="008A6D1A">
      <w:r w:rsidRPr="00AD64BD">
        <w:t>To ensure training program quality, we conducted an analysis of 2 years of in-person trainings</w:t>
      </w:r>
      <w:r>
        <w:t xml:space="preserve"> (2018 &amp; 2019)</w:t>
      </w:r>
      <w:r w:rsidRPr="00AD64BD">
        <w:t xml:space="preserve"> versus 2 years of virtual training</w:t>
      </w:r>
      <w:r>
        <w:t xml:space="preserve"> (2020 &amp; 2021)</w:t>
      </w:r>
      <w:r w:rsidRPr="00AD64BD">
        <w:t>, reviewing</w:t>
      </w:r>
      <w:r>
        <w:t xml:space="preserve"> exam scores and training evaluations.</w:t>
      </w:r>
    </w:p>
    <w:p w14:paraId="686DF0AD" w14:textId="77777777" w:rsidR="008A6D1A" w:rsidRDefault="008A6D1A" w:rsidP="008A6D1A">
      <w:r>
        <w:t xml:space="preserve">Fisher’s Exact tests were used to analyze contingency tables for Likert scale responses and determine significant differences between virtual and in-person groups.  All analyses were carried out using </w:t>
      </w:r>
      <w:proofErr w:type="spellStart"/>
      <w:r>
        <w:t>StataMP</w:t>
      </w:r>
      <w:proofErr w:type="spellEnd"/>
      <w:r>
        <w:t>, Version 16.</w:t>
      </w:r>
    </w:p>
    <w:p w14:paraId="3E6EE1AA" w14:textId="1E36BB45" w:rsidR="008A6D1A" w:rsidRDefault="008A6D1A" w:rsidP="007A7259">
      <w:pPr>
        <w:rPr>
          <w:b/>
          <w:bCs/>
        </w:rPr>
      </w:pPr>
      <w:r w:rsidRPr="008A6D1A">
        <w:rPr>
          <w:b/>
          <w:bCs/>
        </w:rPr>
        <w:t>Results</w:t>
      </w:r>
    </w:p>
    <w:p w14:paraId="34BB0827" w14:textId="118DB344" w:rsidR="006F684A" w:rsidRDefault="006F684A" w:rsidP="007A7259">
      <w:r>
        <w:t>We first looked at the average grade among in-person trainees versus virtual trainees. The in-person trainees</w:t>
      </w:r>
      <w:r w:rsidR="00593842">
        <w:t>’</w:t>
      </w:r>
      <w:r>
        <w:t xml:space="preserve"> average grade of 85.2% was slightly higher than the virtual attendees’ average grade of </w:t>
      </w:r>
      <w:r w:rsidR="00593842">
        <w:t>83.3%, but this was not a significant difference.</w:t>
      </w:r>
    </w:p>
    <w:p w14:paraId="64AE6E0A" w14:textId="65F49ABD" w:rsidR="00593842" w:rsidRDefault="00593842" w:rsidP="007A7259">
      <w:r>
        <w:t>There was a significant difference among in-person and virtual participants with respect to satisfaction with the course, with the virtual trainees more likely to note being “very” or “somewhat” satisfied with the overall course. (See Table A).</w:t>
      </w:r>
    </w:p>
    <w:p w14:paraId="00BD9A0B" w14:textId="4BC23AEA" w:rsidR="00AA1C62" w:rsidRDefault="00BC53C7" w:rsidP="00071DEE">
      <w:r>
        <w:t xml:space="preserve">Table A: </w:t>
      </w:r>
      <w:r w:rsidR="00CA3333">
        <w:t xml:space="preserve">Please rate your overall satisfaction with the course: </w:t>
      </w:r>
    </w:p>
    <w:tbl>
      <w:tblPr>
        <w:tblStyle w:val="TableGrid"/>
        <w:tblW w:w="0" w:type="auto"/>
        <w:tblLook w:val="04A0" w:firstRow="1" w:lastRow="0" w:firstColumn="1" w:lastColumn="0" w:noHBand="0" w:noVBand="1"/>
      </w:tblPr>
      <w:tblGrid>
        <w:gridCol w:w="1521"/>
        <w:gridCol w:w="1569"/>
        <w:gridCol w:w="1635"/>
        <w:gridCol w:w="1655"/>
        <w:gridCol w:w="1315"/>
        <w:gridCol w:w="1655"/>
      </w:tblGrid>
      <w:tr w:rsidR="007A4B91" w14:paraId="7EAB7D98" w14:textId="77777777" w:rsidTr="007A4B91">
        <w:tc>
          <w:tcPr>
            <w:tcW w:w="1521" w:type="dxa"/>
          </w:tcPr>
          <w:p w14:paraId="5E16F5F6" w14:textId="77777777" w:rsidR="007A4B91" w:rsidRDefault="007A4B91" w:rsidP="007A4B91"/>
        </w:tc>
        <w:tc>
          <w:tcPr>
            <w:tcW w:w="1569" w:type="dxa"/>
          </w:tcPr>
          <w:p w14:paraId="680A944C" w14:textId="77777777" w:rsidR="007A4B91" w:rsidRDefault="007A4B91" w:rsidP="007A4B91">
            <w:pPr>
              <w:jc w:val="center"/>
            </w:pPr>
            <w:r>
              <w:t>Very Satisfied</w:t>
            </w:r>
          </w:p>
          <w:p w14:paraId="784A21E9" w14:textId="77777777" w:rsidR="007A4B91" w:rsidRDefault="007A4B91" w:rsidP="007A4B91">
            <w:pPr>
              <w:jc w:val="center"/>
            </w:pPr>
          </w:p>
          <w:p w14:paraId="31E6D02F" w14:textId="24C0AB56" w:rsidR="007A4B91" w:rsidRDefault="007A4B91" w:rsidP="007A4B91">
            <w:pPr>
              <w:jc w:val="center"/>
            </w:pPr>
            <w:r>
              <w:t>%</w:t>
            </w:r>
            <w:r>
              <w:br/>
              <w:t>(n)</w:t>
            </w:r>
          </w:p>
        </w:tc>
        <w:tc>
          <w:tcPr>
            <w:tcW w:w="1635" w:type="dxa"/>
          </w:tcPr>
          <w:p w14:paraId="6BD6B538" w14:textId="77777777" w:rsidR="007A4B91" w:rsidRDefault="007A4B91" w:rsidP="007A4B91">
            <w:pPr>
              <w:jc w:val="center"/>
            </w:pPr>
            <w:r>
              <w:t>Somewhat Satisfied</w:t>
            </w:r>
          </w:p>
          <w:p w14:paraId="65442EBA" w14:textId="26F3209A" w:rsidR="007A4B91" w:rsidRDefault="007A4B91" w:rsidP="007A4B91">
            <w:pPr>
              <w:jc w:val="center"/>
            </w:pPr>
            <w:r>
              <w:t>%</w:t>
            </w:r>
            <w:r>
              <w:br/>
              <w:t>(n)</w:t>
            </w:r>
          </w:p>
        </w:tc>
        <w:tc>
          <w:tcPr>
            <w:tcW w:w="1655" w:type="dxa"/>
          </w:tcPr>
          <w:p w14:paraId="3EC4F6E2" w14:textId="77777777" w:rsidR="007A4B91" w:rsidRDefault="007A4B91" w:rsidP="007A4B91">
            <w:pPr>
              <w:jc w:val="center"/>
            </w:pPr>
            <w:r>
              <w:t>Somewhat Dissatisfied</w:t>
            </w:r>
          </w:p>
          <w:p w14:paraId="7ECD718A" w14:textId="254013D8" w:rsidR="007A4B91" w:rsidRDefault="007A4B91" w:rsidP="007A4B91">
            <w:pPr>
              <w:jc w:val="center"/>
            </w:pPr>
            <w:r>
              <w:t>%</w:t>
            </w:r>
            <w:r>
              <w:br/>
              <w:t>(n)</w:t>
            </w:r>
          </w:p>
        </w:tc>
        <w:tc>
          <w:tcPr>
            <w:tcW w:w="1315" w:type="dxa"/>
          </w:tcPr>
          <w:p w14:paraId="1F588FC8" w14:textId="77777777" w:rsidR="007A4B91" w:rsidRDefault="007A4B91" w:rsidP="007A4B91">
            <w:pPr>
              <w:jc w:val="center"/>
            </w:pPr>
            <w:r>
              <w:t>Very Dissatisfied</w:t>
            </w:r>
          </w:p>
          <w:p w14:paraId="2390B3D0" w14:textId="77777777" w:rsidR="007A4B91" w:rsidRDefault="007A4B91" w:rsidP="007A4B91">
            <w:pPr>
              <w:jc w:val="center"/>
            </w:pPr>
          </w:p>
          <w:p w14:paraId="0857169E" w14:textId="014F0955" w:rsidR="007A4B91" w:rsidRDefault="007A4B91" w:rsidP="007A4B91">
            <w:pPr>
              <w:jc w:val="center"/>
            </w:pPr>
            <w:r>
              <w:t>%</w:t>
            </w:r>
            <w:r>
              <w:br/>
              <w:t>(n)</w:t>
            </w:r>
          </w:p>
        </w:tc>
        <w:tc>
          <w:tcPr>
            <w:tcW w:w="1655" w:type="dxa"/>
          </w:tcPr>
          <w:p w14:paraId="2A89AC80" w14:textId="6CAB1EAE" w:rsidR="007A4B91" w:rsidRDefault="007A4B91" w:rsidP="007A4B91">
            <w:pPr>
              <w:jc w:val="center"/>
            </w:pPr>
            <w:r>
              <w:t>Total N</w:t>
            </w:r>
          </w:p>
        </w:tc>
      </w:tr>
      <w:tr w:rsidR="007A4B91" w14:paraId="2D83D7F8" w14:textId="77777777" w:rsidTr="007A4B91">
        <w:tc>
          <w:tcPr>
            <w:tcW w:w="1521" w:type="dxa"/>
          </w:tcPr>
          <w:p w14:paraId="13FE1AEB" w14:textId="231A3CC0" w:rsidR="007A4B91" w:rsidRDefault="007A4B91" w:rsidP="007A4B91">
            <w:r>
              <w:t>In-Person</w:t>
            </w:r>
          </w:p>
        </w:tc>
        <w:tc>
          <w:tcPr>
            <w:tcW w:w="1569" w:type="dxa"/>
          </w:tcPr>
          <w:p w14:paraId="5835EA37" w14:textId="77777777" w:rsidR="007A4B91" w:rsidRDefault="007A4B91" w:rsidP="00771625">
            <w:pPr>
              <w:jc w:val="center"/>
            </w:pPr>
            <w:r>
              <w:t>86.81%</w:t>
            </w:r>
          </w:p>
          <w:p w14:paraId="165B7607" w14:textId="715C361A" w:rsidR="007A4B91" w:rsidRDefault="007A4B91" w:rsidP="00771625">
            <w:pPr>
              <w:jc w:val="center"/>
            </w:pPr>
            <w:r>
              <w:t>(79)</w:t>
            </w:r>
          </w:p>
        </w:tc>
        <w:tc>
          <w:tcPr>
            <w:tcW w:w="1635" w:type="dxa"/>
          </w:tcPr>
          <w:p w14:paraId="13C22E79" w14:textId="77777777" w:rsidR="007A4B91" w:rsidRDefault="007A4B91" w:rsidP="00771625">
            <w:pPr>
              <w:jc w:val="center"/>
            </w:pPr>
            <w:r>
              <w:t>7.69%</w:t>
            </w:r>
          </w:p>
          <w:p w14:paraId="333FCE40" w14:textId="3A59D431" w:rsidR="007A4B91" w:rsidRDefault="007A4B91" w:rsidP="00771625">
            <w:pPr>
              <w:jc w:val="center"/>
            </w:pPr>
            <w:r>
              <w:t>(7)</w:t>
            </w:r>
          </w:p>
        </w:tc>
        <w:tc>
          <w:tcPr>
            <w:tcW w:w="1655" w:type="dxa"/>
          </w:tcPr>
          <w:p w14:paraId="1F1FC767" w14:textId="77777777" w:rsidR="007A4B91" w:rsidRDefault="007A4B91" w:rsidP="00771625">
            <w:pPr>
              <w:jc w:val="center"/>
            </w:pPr>
            <w:r>
              <w:t>3.30%</w:t>
            </w:r>
          </w:p>
          <w:p w14:paraId="4DCB970D" w14:textId="58F3348F" w:rsidR="007A4B91" w:rsidRDefault="007A4B91" w:rsidP="00771625">
            <w:pPr>
              <w:jc w:val="center"/>
            </w:pPr>
            <w:r>
              <w:t>(3)</w:t>
            </w:r>
          </w:p>
        </w:tc>
        <w:tc>
          <w:tcPr>
            <w:tcW w:w="1315" w:type="dxa"/>
          </w:tcPr>
          <w:p w14:paraId="5025C264" w14:textId="77777777" w:rsidR="007A4B91" w:rsidRDefault="007A4B91" w:rsidP="00771625">
            <w:pPr>
              <w:jc w:val="center"/>
            </w:pPr>
            <w:r>
              <w:t>2.20%</w:t>
            </w:r>
          </w:p>
          <w:p w14:paraId="20321E51" w14:textId="539F5F3A" w:rsidR="007A4B91" w:rsidRDefault="007A4B91" w:rsidP="00771625">
            <w:pPr>
              <w:jc w:val="center"/>
            </w:pPr>
            <w:r>
              <w:t>(2)</w:t>
            </w:r>
          </w:p>
        </w:tc>
        <w:tc>
          <w:tcPr>
            <w:tcW w:w="1655" w:type="dxa"/>
          </w:tcPr>
          <w:p w14:paraId="166EA385" w14:textId="4A291CBA" w:rsidR="007A4B91" w:rsidRDefault="007A4B91" w:rsidP="00771625">
            <w:pPr>
              <w:jc w:val="center"/>
            </w:pPr>
            <w:r>
              <w:t>91</w:t>
            </w:r>
          </w:p>
        </w:tc>
      </w:tr>
      <w:tr w:rsidR="00BC53C7" w14:paraId="4012C1ED" w14:textId="77777777" w:rsidTr="007A4B91">
        <w:tc>
          <w:tcPr>
            <w:tcW w:w="1521" w:type="dxa"/>
          </w:tcPr>
          <w:p w14:paraId="651EC3BA" w14:textId="69809F22" w:rsidR="00BC53C7" w:rsidRDefault="00BC53C7" w:rsidP="00BC53C7">
            <w:r>
              <w:t>Virtual</w:t>
            </w:r>
          </w:p>
        </w:tc>
        <w:tc>
          <w:tcPr>
            <w:tcW w:w="1569" w:type="dxa"/>
          </w:tcPr>
          <w:p w14:paraId="48900798" w14:textId="77777777" w:rsidR="00BC53C7" w:rsidRDefault="00BC53C7" w:rsidP="00771625">
            <w:pPr>
              <w:jc w:val="center"/>
            </w:pPr>
            <w:r>
              <w:t>85.71%</w:t>
            </w:r>
          </w:p>
          <w:p w14:paraId="6847A949" w14:textId="31F366A4" w:rsidR="00BC53C7" w:rsidRDefault="00BC53C7" w:rsidP="00771625">
            <w:pPr>
              <w:jc w:val="center"/>
            </w:pPr>
            <w:r>
              <w:t>(84)</w:t>
            </w:r>
          </w:p>
        </w:tc>
        <w:tc>
          <w:tcPr>
            <w:tcW w:w="1635" w:type="dxa"/>
          </w:tcPr>
          <w:p w14:paraId="6EC1FC06" w14:textId="77777777" w:rsidR="00BC53C7" w:rsidRDefault="00BC53C7" w:rsidP="00771625">
            <w:pPr>
              <w:jc w:val="center"/>
            </w:pPr>
            <w:r>
              <w:t>14.29%</w:t>
            </w:r>
          </w:p>
          <w:p w14:paraId="203632E2" w14:textId="5E37C323" w:rsidR="00BC53C7" w:rsidRDefault="00BC53C7" w:rsidP="00771625">
            <w:pPr>
              <w:jc w:val="center"/>
            </w:pPr>
            <w:r>
              <w:t>(14)</w:t>
            </w:r>
          </w:p>
        </w:tc>
        <w:tc>
          <w:tcPr>
            <w:tcW w:w="1655" w:type="dxa"/>
          </w:tcPr>
          <w:p w14:paraId="62FC0CF5" w14:textId="77777777" w:rsidR="00BC53C7" w:rsidRDefault="00BC53C7" w:rsidP="00771625">
            <w:pPr>
              <w:jc w:val="center"/>
            </w:pPr>
            <w:r>
              <w:t>0.00%</w:t>
            </w:r>
          </w:p>
          <w:p w14:paraId="5A4AC804" w14:textId="723ED0AF" w:rsidR="00BC53C7" w:rsidRDefault="00BC53C7" w:rsidP="00771625">
            <w:pPr>
              <w:jc w:val="center"/>
            </w:pPr>
            <w:r>
              <w:t>(0)</w:t>
            </w:r>
          </w:p>
        </w:tc>
        <w:tc>
          <w:tcPr>
            <w:tcW w:w="1315" w:type="dxa"/>
          </w:tcPr>
          <w:p w14:paraId="6840417F" w14:textId="77777777" w:rsidR="00BC53C7" w:rsidRDefault="00BC53C7" w:rsidP="00771625">
            <w:pPr>
              <w:jc w:val="center"/>
            </w:pPr>
            <w:r>
              <w:t>0.00%</w:t>
            </w:r>
          </w:p>
          <w:p w14:paraId="4CE316CE" w14:textId="041D96E2" w:rsidR="00BC53C7" w:rsidRDefault="00BC53C7" w:rsidP="00771625">
            <w:pPr>
              <w:jc w:val="center"/>
            </w:pPr>
            <w:r>
              <w:t>(0)</w:t>
            </w:r>
          </w:p>
        </w:tc>
        <w:tc>
          <w:tcPr>
            <w:tcW w:w="1655" w:type="dxa"/>
          </w:tcPr>
          <w:p w14:paraId="01E818F9" w14:textId="42590926" w:rsidR="00BC53C7" w:rsidRDefault="00BC53C7" w:rsidP="00771625">
            <w:pPr>
              <w:jc w:val="center"/>
            </w:pPr>
            <w:r>
              <w:t>98</w:t>
            </w:r>
            <w:r w:rsidR="00EA3D96">
              <w:t xml:space="preserve"> </w:t>
            </w:r>
            <w:r w:rsidRPr="00771625">
              <w:rPr>
                <w:vertAlign w:val="superscript"/>
              </w:rPr>
              <w:t>a</w:t>
            </w:r>
          </w:p>
        </w:tc>
      </w:tr>
    </w:tbl>
    <w:p w14:paraId="554379C1" w14:textId="51DA5040" w:rsidR="00BC53C7" w:rsidRDefault="00BC53C7" w:rsidP="00071DEE">
      <w:r w:rsidRPr="00771625">
        <w:rPr>
          <w:vertAlign w:val="superscript"/>
        </w:rPr>
        <w:t>a</w:t>
      </w:r>
      <w:r>
        <w:t xml:space="preserve"> p=0.043</w:t>
      </w:r>
    </w:p>
    <w:p w14:paraId="3F458150" w14:textId="2A7BAEFB" w:rsidR="00BC53C7" w:rsidRDefault="00593842" w:rsidP="00071DEE">
      <w:r>
        <w:br/>
        <w:t>We also asked trainees to rate the extent to which the course increased their ability to deliver effective tobacco treatment. Virtual participants were more likely to report that their ability increased “a great deal” versus “somewhat.” (See Table B).</w:t>
      </w:r>
    </w:p>
    <w:p w14:paraId="369C8E0E" w14:textId="77777777" w:rsidR="00593842" w:rsidRDefault="00593842" w:rsidP="00071DEE"/>
    <w:p w14:paraId="0FDC3AA4" w14:textId="57A56EE2" w:rsidR="00BC53C7" w:rsidRPr="00453911" w:rsidRDefault="00BC53C7" w:rsidP="00BC53C7">
      <w:pPr>
        <w:widowControl w:val="0"/>
        <w:tabs>
          <w:tab w:val="left" w:pos="120"/>
          <w:tab w:val="right" w:pos="720"/>
          <w:tab w:val="left" w:pos="3300"/>
          <w:tab w:val="left" w:pos="4620"/>
        </w:tabs>
        <w:autoSpaceDE w:val="0"/>
        <w:autoSpaceDN w:val="0"/>
        <w:adjustRightInd w:val="0"/>
        <w:spacing w:before="89" w:after="0" w:line="240" w:lineRule="auto"/>
        <w:rPr>
          <w:rFonts w:cs="Calibri"/>
        </w:rPr>
      </w:pPr>
      <w:r>
        <w:t xml:space="preserve">Table B: </w:t>
      </w:r>
      <w:r w:rsidRPr="00453911">
        <w:rPr>
          <w:rFonts w:cs="Calibri"/>
        </w:rPr>
        <w:t>To what extent has this course increased your ability to deliver effective tobacco treatment?</w:t>
      </w:r>
    </w:p>
    <w:p w14:paraId="633CA9A8" w14:textId="0EC267AB" w:rsidR="00BC53C7" w:rsidRDefault="00BC53C7" w:rsidP="00BC53C7"/>
    <w:tbl>
      <w:tblPr>
        <w:tblStyle w:val="TableGrid"/>
        <w:tblW w:w="0" w:type="auto"/>
        <w:tblLook w:val="04A0" w:firstRow="1" w:lastRow="0" w:firstColumn="1" w:lastColumn="0" w:noHBand="0" w:noVBand="1"/>
      </w:tblPr>
      <w:tblGrid>
        <w:gridCol w:w="1521"/>
        <w:gridCol w:w="1569"/>
        <w:gridCol w:w="1635"/>
        <w:gridCol w:w="1655"/>
        <w:gridCol w:w="1655"/>
      </w:tblGrid>
      <w:tr w:rsidR="00BC53C7" w14:paraId="767D5C0A" w14:textId="77777777" w:rsidTr="00974EB8">
        <w:tc>
          <w:tcPr>
            <w:tcW w:w="1521" w:type="dxa"/>
          </w:tcPr>
          <w:p w14:paraId="29457995" w14:textId="77777777" w:rsidR="00BC53C7" w:rsidRDefault="00BC53C7" w:rsidP="00974EB8"/>
        </w:tc>
        <w:tc>
          <w:tcPr>
            <w:tcW w:w="1569" w:type="dxa"/>
          </w:tcPr>
          <w:p w14:paraId="69562404" w14:textId="769F9086" w:rsidR="00BC53C7" w:rsidRDefault="00BC53C7" w:rsidP="00974EB8">
            <w:pPr>
              <w:jc w:val="center"/>
            </w:pPr>
            <w:r>
              <w:t>A Great Deal</w:t>
            </w:r>
          </w:p>
          <w:p w14:paraId="1928E411" w14:textId="77777777" w:rsidR="00BC53C7" w:rsidRDefault="00BC53C7" w:rsidP="00974EB8">
            <w:pPr>
              <w:jc w:val="center"/>
            </w:pPr>
            <w:r>
              <w:t>%</w:t>
            </w:r>
            <w:r>
              <w:br/>
              <w:t>(n)</w:t>
            </w:r>
          </w:p>
        </w:tc>
        <w:tc>
          <w:tcPr>
            <w:tcW w:w="1635" w:type="dxa"/>
          </w:tcPr>
          <w:p w14:paraId="50C20D48" w14:textId="11F7241B" w:rsidR="00BC53C7" w:rsidRDefault="00BC53C7" w:rsidP="00974EB8">
            <w:pPr>
              <w:jc w:val="center"/>
            </w:pPr>
            <w:r>
              <w:t>Somewhat</w:t>
            </w:r>
          </w:p>
          <w:p w14:paraId="3F846A55" w14:textId="77777777" w:rsidR="00BC53C7" w:rsidRDefault="00BC53C7" w:rsidP="00974EB8">
            <w:pPr>
              <w:jc w:val="center"/>
            </w:pPr>
            <w:r>
              <w:t>%</w:t>
            </w:r>
            <w:r>
              <w:br/>
              <w:t>(n)</w:t>
            </w:r>
          </w:p>
        </w:tc>
        <w:tc>
          <w:tcPr>
            <w:tcW w:w="1655" w:type="dxa"/>
          </w:tcPr>
          <w:p w14:paraId="55F01D4A" w14:textId="225B05D3" w:rsidR="00BC53C7" w:rsidRDefault="00BC53C7" w:rsidP="00974EB8">
            <w:pPr>
              <w:jc w:val="center"/>
            </w:pPr>
            <w:r>
              <w:t>Not at All</w:t>
            </w:r>
          </w:p>
          <w:p w14:paraId="77A074A0" w14:textId="77777777" w:rsidR="00BC53C7" w:rsidRDefault="00BC53C7" w:rsidP="00974EB8">
            <w:pPr>
              <w:jc w:val="center"/>
            </w:pPr>
            <w:r>
              <w:t>%</w:t>
            </w:r>
            <w:r>
              <w:br/>
              <w:t>(n)</w:t>
            </w:r>
          </w:p>
        </w:tc>
        <w:tc>
          <w:tcPr>
            <w:tcW w:w="1655" w:type="dxa"/>
          </w:tcPr>
          <w:p w14:paraId="60C4BC6C" w14:textId="77777777" w:rsidR="00BC53C7" w:rsidRDefault="00BC53C7" w:rsidP="00974EB8">
            <w:pPr>
              <w:jc w:val="center"/>
            </w:pPr>
            <w:r>
              <w:t>Total N</w:t>
            </w:r>
          </w:p>
        </w:tc>
      </w:tr>
      <w:tr w:rsidR="00BC53C7" w14:paraId="3126EF28" w14:textId="77777777" w:rsidTr="00974EB8">
        <w:tc>
          <w:tcPr>
            <w:tcW w:w="1521" w:type="dxa"/>
          </w:tcPr>
          <w:p w14:paraId="4240DF8C" w14:textId="77777777" w:rsidR="00BC53C7" w:rsidRDefault="00BC53C7" w:rsidP="00974EB8">
            <w:r>
              <w:t>In-Person</w:t>
            </w:r>
          </w:p>
        </w:tc>
        <w:tc>
          <w:tcPr>
            <w:tcW w:w="1569" w:type="dxa"/>
          </w:tcPr>
          <w:p w14:paraId="4DCCD7B3" w14:textId="711829F1" w:rsidR="00BC53C7" w:rsidRDefault="00BC53C7" w:rsidP="00974EB8">
            <w:r>
              <w:t>84.62%</w:t>
            </w:r>
          </w:p>
          <w:p w14:paraId="467BBFB3" w14:textId="5F29785B" w:rsidR="00BC53C7" w:rsidRDefault="00BC53C7" w:rsidP="00974EB8">
            <w:r>
              <w:t>(77)</w:t>
            </w:r>
          </w:p>
        </w:tc>
        <w:tc>
          <w:tcPr>
            <w:tcW w:w="1635" w:type="dxa"/>
          </w:tcPr>
          <w:p w14:paraId="14760F6B" w14:textId="14C0E9C6" w:rsidR="00BC53C7" w:rsidRDefault="00BC53C7" w:rsidP="00974EB8">
            <w:r>
              <w:t>13.19%</w:t>
            </w:r>
          </w:p>
          <w:p w14:paraId="103A4A19" w14:textId="3F0E56E7" w:rsidR="00BC53C7" w:rsidRDefault="00BC53C7" w:rsidP="00974EB8">
            <w:r>
              <w:t>(12)</w:t>
            </w:r>
          </w:p>
        </w:tc>
        <w:tc>
          <w:tcPr>
            <w:tcW w:w="1655" w:type="dxa"/>
          </w:tcPr>
          <w:p w14:paraId="27396CD6" w14:textId="2A150D2A" w:rsidR="00BC53C7" w:rsidRDefault="00BC53C7" w:rsidP="00974EB8">
            <w:r>
              <w:t>2.20%</w:t>
            </w:r>
          </w:p>
          <w:p w14:paraId="611119B8" w14:textId="46DA9BC8" w:rsidR="00BC53C7" w:rsidRDefault="00BC53C7" w:rsidP="00974EB8">
            <w:r>
              <w:t>(2)</w:t>
            </w:r>
          </w:p>
        </w:tc>
        <w:tc>
          <w:tcPr>
            <w:tcW w:w="1655" w:type="dxa"/>
          </w:tcPr>
          <w:p w14:paraId="5C1873FF" w14:textId="77777777" w:rsidR="00BC53C7" w:rsidRDefault="00BC53C7" w:rsidP="00974EB8">
            <w:r>
              <w:t>91</w:t>
            </w:r>
          </w:p>
        </w:tc>
      </w:tr>
      <w:tr w:rsidR="00BC53C7" w14:paraId="1EF1C63E" w14:textId="77777777" w:rsidTr="00974EB8">
        <w:tc>
          <w:tcPr>
            <w:tcW w:w="1521" w:type="dxa"/>
          </w:tcPr>
          <w:p w14:paraId="3DB18C20" w14:textId="77777777" w:rsidR="00BC53C7" w:rsidRDefault="00BC53C7" w:rsidP="00974EB8">
            <w:r>
              <w:t>Virtual</w:t>
            </w:r>
          </w:p>
        </w:tc>
        <w:tc>
          <w:tcPr>
            <w:tcW w:w="1569" w:type="dxa"/>
          </w:tcPr>
          <w:p w14:paraId="5F59831C" w14:textId="4DF6AF42" w:rsidR="00BC53C7" w:rsidRDefault="00BC53C7" w:rsidP="00974EB8">
            <w:r>
              <w:t>94.90%</w:t>
            </w:r>
          </w:p>
          <w:p w14:paraId="0807C110" w14:textId="7892F278" w:rsidR="00BC53C7" w:rsidRDefault="00BC53C7" w:rsidP="00974EB8">
            <w:r>
              <w:t>(93)</w:t>
            </w:r>
          </w:p>
        </w:tc>
        <w:tc>
          <w:tcPr>
            <w:tcW w:w="1635" w:type="dxa"/>
          </w:tcPr>
          <w:p w14:paraId="2C8627E7" w14:textId="65E6C985" w:rsidR="00BC53C7" w:rsidRDefault="00BC53C7" w:rsidP="00974EB8">
            <w:r>
              <w:t>5.10%</w:t>
            </w:r>
          </w:p>
          <w:p w14:paraId="31B59F63" w14:textId="415A3BA7" w:rsidR="00BC53C7" w:rsidRDefault="00BC53C7" w:rsidP="00974EB8">
            <w:r>
              <w:t>(5)</w:t>
            </w:r>
          </w:p>
        </w:tc>
        <w:tc>
          <w:tcPr>
            <w:tcW w:w="1655" w:type="dxa"/>
          </w:tcPr>
          <w:p w14:paraId="1FB063F8" w14:textId="77777777" w:rsidR="00BC53C7" w:rsidRDefault="00BC53C7" w:rsidP="00974EB8">
            <w:r>
              <w:t>0.00%</w:t>
            </w:r>
          </w:p>
          <w:p w14:paraId="4CF7F41D" w14:textId="77777777" w:rsidR="00BC53C7" w:rsidRDefault="00BC53C7" w:rsidP="00974EB8">
            <w:r>
              <w:t>(0)</w:t>
            </w:r>
          </w:p>
        </w:tc>
        <w:tc>
          <w:tcPr>
            <w:tcW w:w="1655" w:type="dxa"/>
          </w:tcPr>
          <w:p w14:paraId="6DEC57D0" w14:textId="5E1E1002" w:rsidR="00BC53C7" w:rsidRDefault="00BC53C7" w:rsidP="00974EB8">
            <w:r>
              <w:t>98</w:t>
            </w:r>
            <w:r w:rsidR="00EA3D96">
              <w:t xml:space="preserve"> </w:t>
            </w:r>
            <w:r w:rsidR="00771625" w:rsidRPr="00771625">
              <w:rPr>
                <w:vertAlign w:val="superscript"/>
              </w:rPr>
              <w:t>b</w:t>
            </w:r>
          </w:p>
        </w:tc>
      </w:tr>
    </w:tbl>
    <w:p w14:paraId="3DB76B88" w14:textId="7A268059" w:rsidR="00BC53C7" w:rsidRDefault="00771625" w:rsidP="00BC53C7">
      <w:r w:rsidRPr="00771625">
        <w:rPr>
          <w:vertAlign w:val="superscript"/>
        </w:rPr>
        <w:t>b</w:t>
      </w:r>
      <w:r w:rsidR="00BC53C7">
        <w:t xml:space="preserve"> p=0.038</w:t>
      </w:r>
    </w:p>
    <w:p w14:paraId="61B1209A" w14:textId="539002C4" w:rsidR="00BC53C7" w:rsidRDefault="00EA3D96" w:rsidP="00071DEE">
      <w:r>
        <w:t>We also looked at each individual training module to determine if there were differences between two measures: satisfaction with the module, and to what extent the goal of the m</w:t>
      </w:r>
      <w:r w:rsidR="004F5BBB">
        <w:t>odul</w:t>
      </w:r>
      <w:r>
        <w:t xml:space="preserve">e was met. </w:t>
      </w:r>
      <w:r w:rsidR="00443C74">
        <w:t xml:space="preserve">There were no </w:t>
      </w:r>
      <w:r>
        <w:t xml:space="preserve">significant </w:t>
      </w:r>
      <w:r w:rsidR="00443C74">
        <w:t xml:space="preserve">differences between the training types with respect to </w:t>
      </w:r>
      <w:r>
        <w:t>these two measures.</w:t>
      </w:r>
      <w:r w:rsidR="00443C74">
        <w:t xml:space="preserve">  </w:t>
      </w:r>
    </w:p>
    <w:p w14:paraId="3FE08DD4" w14:textId="77777777" w:rsidR="00D12D51" w:rsidRDefault="00D12D51" w:rsidP="008A6D1A">
      <w:pPr>
        <w:pStyle w:val="ListParagraph"/>
        <w:tabs>
          <w:tab w:val="left" w:pos="486"/>
        </w:tabs>
        <w:ind w:left="0"/>
        <w:rPr>
          <w:b/>
        </w:rPr>
      </w:pPr>
      <w:r>
        <w:rPr>
          <w:b/>
        </w:rPr>
        <w:t>Discussion</w:t>
      </w:r>
    </w:p>
    <w:p w14:paraId="3A1C96CE" w14:textId="77777777" w:rsidR="00D12D51" w:rsidRDefault="00D12D51" w:rsidP="008A6D1A">
      <w:pPr>
        <w:pStyle w:val="ListParagraph"/>
        <w:tabs>
          <w:tab w:val="left" w:pos="486"/>
        </w:tabs>
        <w:ind w:left="0"/>
        <w:rPr>
          <w:b/>
        </w:rPr>
      </w:pPr>
    </w:p>
    <w:p w14:paraId="31BD6FF7" w14:textId="75D21F98" w:rsidR="008A6D1A" w:rsidRDefault="00593842" w:rsidP="008A6D1A">
      <w:pPr>
        <w:pStyle w:val="ListParagraph"/>
        <w:tabs>
          <w:tab w:val="left" w:pos="486"/>
        </w:tabs>
        <w:ind w:left="0"/>
        <w:rPr>
          <w:bCs/>
        </w:rPr>
      </w:pPr>
      <w:r>
        <w:rPr>
          <w:bCs/>
        </w:rPr>
        <w:t xml:space="preserve">We are pleased that on these important measures (grades, overall satisfaction, increase in self-efficacy, and individual module satisfaction) we found </w:t>
      </w:r>
      <w:r w:rsidR="00D12D51">
        <w:rPr>
          <w:bCs/>
        </w:rPr>
        <w:t xml:space="preserve">very similar results for in-person and virtual training. </w:t>
      </w:r>
      <w:r w:rsidR="008A6D1A">
        <w:rPr>
          <w:bCs/>
        </w:rPr>
        <w:t xml:space="preserve">We have since hosted 8 UMass-based trainings virtually, and our Certified Trainers have also begun hosting their trainings virtually. </w:t>
      </w:r>
    </w:p>
    <w:p w14:paraId="53646E5D" w14:textId="47D8628C" w:rsidR="007A7259" w:rsidRPr="008A6D1A" w:rsidRDefault="004B3F8E" w:rsidP="007A7259">
      <w:pPr>
        <w:rPr>
          <w:b/>
          <w:bCs/>
        </w:rPr>
      </w:pPr>
      <w:r w:rsidRPr="008A6D1A">
        <w:rPr>
          <w:b/>
          <w:bCs/>
        </w:rPr>
        <w:t>Lessons learned</w:t>
      </w:r>
    </w:p>
    <w:p w14:paraId="2A119126" w14:textId="06833788" w:rsidR="008A6D1A" w:rsidRDefault="008A6D1A" w:rsidP="002F0605">
      <w:pPr>
        <w:pStyle w:val="ListParagraph"/>
        <w:numPr>
          <w:ilvl w:val="0"/>
          <w:numId w:val="2"/>
        </w:numPr>
      </w:pPr>
      <w:r>
        <w:t>Given the success of this trial program, we have held subsequent virtual trainings at UMass and nationally through our network of Certified Trainers and will continue to do so</w:t>
      </w:r>
      <w:r w:rsidR="00B91734">
        <w:t xml:space="preserve"> after travel restrictions are lifted</w:t>
      </w:r>
      <w:r>
        <w:t>.</w:t>
      </w:r>
    </w:p>
    <w:p w14:paraId="38EEBCDD" w14:textId="45F383BC" w:rsidR="002F0605" w:rsidRDefault="002F0605" w:rsidP="002F0605">
      <w:pPr>
        <w:pStyle w:val="ListParagraph"/>
        <w:numPr>
          <w:ilvl w:val="0"/>
          <w:numId w:val="2"/>
        </w:numPr>
      </w:pPr>
      <w:r>
        <w:t xml:space="preserve">The availability of skilled support and an appropriate platform are key for the hosting of trainings. Utilize institutional support when available. </w:t>
      </w:r>
    </w:p>
    <w:p w14:paraId="08979FA3" w14:textId="4D996A03" w:rsidR="008A6D1A" w:rsidRDefault="002F0605" w:rsidP="008A6D1A">
      <w:pPr>
        <w:pStyle w:val="ListParagraph"/>
        <w:numPr>
          <w:ilvl w:val="0"/>
          <w:numId w:val="2"/>
        </w:numPr>
      </w:pPr>
      <w:r>
        <w:t>Use of the chat feature</w:t>
      </w:r>
      <w:r w:rsidR="001902F3">
        <w:t xml:space="preserve">, small group discussions, and polling questions </w:t>
      </w:r>
      <w:r>
        <w:t xml:space="preserve">stimulated exchange of ideas among trainees and trainers to replicate as much as possible the in-person training experience. </w:t>
      </w:r>
    </w:p>
    <w:p w14:paraId="0633D803" w14:textId="1AAAFC89" w:rsidR="004B3F8E" w:rsidRDefault="004B3F8E" w:rsidP="004B3F8E">
      <w:pPr>
        <w:pStyle w:val="ListParagraph"/>
        <w:numPr>
          <w:ilvl w:val="0"/>
          <w:numId w:val="2"/>
        </w:numPr>
      </w:pPr>
      <w:r>
        <w:t xml:space="preserve">Virtual trainings allowed us to capitalize on the expertise of </w:t>
      </w:r>
      <w:r w:rsidR="002F0605">
        <w:t>out-of-state colleagues by having them present during trainings.</w:t>
      </w:r>
      <w:r>
        <w:t xml:space="preserve"> </w:t>
      </w:r>
    </w:p>
    <w:p w14:paraId="4C5C6A84" w14:textId="5D8637B6" w:rsidR="00F445E3" w:rsidRDefault="00E644D0" w:rsidP="00F445E3">
      <w:pPr>
        <w:pStyle w:val="ListParagraph"/>
        <w:numPr>
          <w:ilvl w:val="0"/>
          <w:numId w:val="2"/>
        </w:numPr>
      </w:pPr>
      <w:r>
        <w:t xml:space="preserve">We deliberately kept registration </w:t>
      </w:r>
      <w:r w:rsidR="00197A44">
        <w:t xml:space="preserve">numbers </w:t>
      </w:r>
      <w:r w:rsidR="00A37167">
        <w:t>low</w:t>
      </w:r>
      <w:r w:rsidR="00197A44">
        <w:t xml:space="preserve"> to</w:t>
      </w:r>
      <w:r w:rsidR="00F445E3">
        <w:t xml:space="preserve"> encourage participation </w:t>
      </w:r>
      <w:r>
        <w:t>during presentations</w:t>
      </w:r>
      <w:r w:rsidR="00197A44">
        <w:t xml:space="preserve"> and activities</w:t>
      </w:r>
      <w:r w:rsidR="006E5FC7">
        <w:t>.</w:t>
      </w:r>
    </w:p>
    <w:p w14:paraId="0114320A" w14:textId="3EB23CBB" w:rsidR="003F797F" w:rsidRDefault="003F797F" w:rsidP="00F445E3">
      <w:pPr>
        <w:pStyle w:val="ListParagraph"/>
        <w:numPr>
          <w:ilvl w:val="0"/>
          <w:numId w:val="2"/>
        </w:numPr>
      </w:pPr>
      <w:r>
        <w:t xml:space="preserve">We found that virtual trainings </w:t>
      </w:r>
      <w:r w:rsidR="0015591B">
        <w:t xml:space="preserve">had a lower percentage of individuals from Massachusetts compared to in-person trainings. </w:t>
      </w:r>
      <w:r>
        <w:t xml:space="preserve"> </w:t>
      </w:r>
    </w:p>
    <w:p w14:paraId="457B255E" w14:textId="77777777" w:rsidR="0015591B" w:rsidRDefault="003F797F" w:rsidP="00F445E3">
      <w:pPr>
        <w:pStyle w:val="ListParagraph"/>
        <w:numPr>
          <w:ilvl w:val="0"/>
          <w:numId w:val="2"/>
        </w:numPr>
      </w:pPr>
      <w:r>
        <w:t xml:space="preserve">Most states do not have a CTTTP-accredited TTS training program. </w:t>
      </w:r>
      <w:r w:rsidR="006E5FC7">
        <w:t xml:space="preserve">Virtual training </w:t>
      </w:r>
      <w:r w:rsidR="001902F3">
        <w:t xml:space="preserve">can expand the </w:t>
      </w:r>
      <w:r w:rsidR="006E5FC7">
        <w:t xml:space="preserve">reach of </w:t>
      </w:r>
      <w:r w:rsidR="00A37167">
        <w:t>TTS training</w:t>
      </w:r>
      <w:r>
        <w:t xml:space="preserve"> by decreasing costs of </w:t>
      </w:r>
      <w:r w:rsidR="0015591B">
        <w:t>out-of-state training.</w:t>
      </w:r>
    </w:p>
    <w:p w14:paraId="6DF96FA5" w14:textId="3B9AE27E" w:rsidR="0015591B" w:rsidRPr="0015591B" w:rsidRDefault="0015591B" w:rsidP="0015591B">
      <w:pPr>
        <w:rPr>
          <w:b/>
          <w:bCs/>
        </w:rPr>
      </w:pPr>
      <w:r w:rsidRPr="008A6D1A">
        <w:rPr>
          <w:b/>
          <w:bCs/>
        </w:rPr>
        <w:t>Ne</w:t>
      </w:r>
      <w:r w:rsidR="00AF5646">
        <w:rPr>
          <w:b/>
          <w:bCs/>
        </w:rPr>
        <w:t>x</w:t>
      </w:r>
      <w:r w:rsidRPr="008A6D1A">
        <w:rPr>
          <w:b/>
          <w:bCs/>
        </w:rPr>
        <w:t>t steps</w:t>
      </w:r>
    </w:p>
    <w:p w14:paraId="66C6AFE7" w14:textId="77777777" w:rsidR="0015591B" w:rsidRDefault="0015591B" w:rsidP="0015591B">
      <w:pPr>
        <w:numPr>
          <w:ilvl w:val="0"/>
          <w:numId w:val="6"/>
        </w:numPr>
        <w:spacing w:after="0"/>
      </w:pPr>
      <w:r w:rsidRPr="0015591B">
        <w:lastRenderedPageBreak/>
        <w:t>Look at individual trainee factors that may indicate likely success in virtual training versus in-person.</w:t>
      </w:r>
    </w:p>
    <w:p w14:paraId="167CF4AC" w14:textId="6F5718B1" w:rsidR="006E5FC7" w:rsidRDefault="0015591B" w:rsidP="0015591B">
      <w:pPr>
        <w:numPr>
          <w:ilvl w:val="0"/>
          <w:numId w:val="6"/>
        </w:numPr>
        <w:spacing w:after="0"/>
      </w:pPr>
      <w:r w:rsidRPr="0015591B">
        <w:t>Continue to incorporate new and innovative virtual training techniques to increase participant engagement</w:t>
      </w:r>
      <w:r w:rsidR="003F797F">
        <w:t xml:space="preserve"> </w:t>
      </w:r>
    </w:p>
    <w:p w14:paraId="7B5B2E17" w14:textId="2B47A957" w:rsidR="0015591B" w:rsidRDefault="0015591B" w:rsidP="0015591B">
      <w:pPr>
        <w:numPr>
          <w:ilvl w:val="0"/>
          <w:numId w:val="6"/>
        </w:numPr>
        <w:spacing w:after="0"/>
      </w:pPr>
      <w:r>
        <w:t xml:space="preserve">Since this analysis there have been 8 </w:t>
      </w:r>
      <w:r w:rsidR="00D24770">
        <w:t>additional</w:t>
      </w:r>
      <w:r>
        <w:t xml:space="preserve"> virtual trainings (3 at UMass; 5 through our Certified Trainers). We plan on an analysis of all virtual trainings to date versus a similar number of in-person trainings.</w:t>
      </w:r>
    </w:p>
    <w:sectPr w:rsidR="0015591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3FFE" w14:textId="77777777" w:rsidR="00266CDE" w:rsidRDefault="00266CDE" w:rsidP="00416B2F">
      <w:pPr>
        <w:spacing w:after="0" w:line="240" w:lineRule="auto"/>
      </w:pPr>
      <w:r>
        <w:separator/>
      </w:r>
    </w:p>
  </w:endnote>
  <w:endnote w:type="continuationSeparator" w:id="0">
    <w:p w14:paraId="438A3FA9" w14:textId="77777777" w:rsidR="00266CDE" w:rsidRDefault="00266CDE" w:rsidP="0041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1210" w14:textId="77777777" w:rsidR="00266CDE" w:rsidRDefault="00266CDE" w:rsidP="00416B2F">
      <w:pPr>
        <w:spacing w:after="0" w:line="240" w:lineRule="auto"/>
      </w:pPr>
      <w:r>
        <w:separator/>
      </w:r>
    </w:p>
  </w:footnote>
  <w:footnote w:type="continuationSeparator" w:id="0">
    <w:p w14:paraId="16274B3D" w14:textId="77777777" w:rsidR="00266CDE" w:rsidRDefault="00266CDE" w:rsidP="00416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9C1B" w14:textId="1DA3DB7E" w:rsidR="00416B2F" w:rsidRDefault="00416B2F">
    <w:pPr>
      <w:pStyle w:val="Header"/>
    </w:pPr>
    <w:r w:rsidRPr="00416B2F">
      <w:rPr>
        <w:noProof/>
      </w:rPr>
      <w:drawing>
        <wp:inline distT="0" distB="0" distL="0" distR="0" wp14:anchorId="6CACF8DE" wp14:editId="146D0511">
          <wp:extent cx="681684" cy="524413"/>
          <wp:effectExtent l="0" t="0" r="4445" b="9525"/>
          <wp:docPr id="10" name="Picture 9" descr="Logo, company name&#10;&#10;Description automatically generated">
            <a:extLst xmlns:a="http://schemas.openxmlformats.org/drawingml/2006/main">
              <a:ext uri="{FF2B5EF4-FFF2-40B4-BE49-F238E27FC236}">
                <a16:creationId xmlns:a16="http://schemas.microsoft.com/office/drawing/2014/main" id="{A2C1B248-212C-4D08-8753-9798FCD3B7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Logo, company name&#10;&#10;Description automatically generated">
                    <a:extLst>
                      <a:ext uri="{FF2B5EF4-FFF2-40B4-BE49-F238E27FC236}">
                        <a16:creationId xmlns:a16="http://schemas.microsoft.com/office/drawing/2014/main" id="{A2C1B248-212C-4D08-8753-9798FCD3B7E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5404" cy="527275"/>
                  </a:xfrm>
                  <a:prstGeom prst="rect">
                    <a:avLst/>
                  </a:prstGeom>
                </pic:spPr>
              </pic:pic>
            </a:graphicData>
          </a:graphic>
        </wp:inline>
      </w:drawing>
    </w:r>
    <w:r>
      <w:tab/>
    </w:r>
    <w:r>
      <w:tab/>
    </w:r>
    <w:r w:rsidRPr="00416B2F">
      <w:rPr>
        <w:noProof/>
      </w:rPr>
      <w:drawing>
        <wp:inline distT="0" distB="0" distL="0" distR="0" wp14:anchorId="32283B07" wp14:editId="1D657E04">
          <wp:extent cx="754955" cy="556282"/>
          <wp:effectExtent l="0" t="0" r="7620" b="0"/>
          <wp:docPr id="24" name="Picture 23" descr="Logo, company name&#10;&#10;Description automatically generated">
            <a:extLst xmlns:a="http://schemas.openxmlformats.org/drawingml/2006/main">
              <a:ext uri="{FF2B5EF4-FFF2-40B4-BE49-F238E27FC236}">
                <a16:creationId xmlns:a16="http://schemas.microsoft.com/office/drawing/2014/main" id="{416934F8-1B12-4DC2-9814-7DDDDC01DC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Logo, company name&#10;&#10;Description automatically generated">
                    <a:extLst>
                      <a:ext uri="{FF2B5EF4-FFF2-40B4-BE49-F238E27FC236}">
                        <a16:creationId xmlns:a16="http://schemas.microsoft.com/office/drawing/2014/main" id="{416934F8-1B12-4DC2-9814-7DDDDC01DCBF}"/>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66158" cy="564536"/>
                  </a:xfrm>
                  <a:prstGeom prst="rect">
                    <a:avLst/>
                  </a:prstGeom>
                </pic:spPr>
              </pic:pic>
            </a:graphicData>
          </a:graphic>
        </wp:inline>
      </w:drawing>
    </w:r>
  </w:p>
  <w:p w14:paraId="1466DBB0" w14:textId="77777777" w:rsidR="00416B2F" w:rsidRDefault="00416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F43"/>
    <w:multiLevelType w:val="hybridMultilevel"/>
    <w:tmpl w:val="AF24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958F3"/>
    <w:multiLevelType w:val="hybridMultilevel"/>
    <w:tmpl w:val="3A9E4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F669A"/>
    <w:multiLevelType w:val="hybridMultilevel"/>
    <w:tmpl w:val="02585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8B76A4"/>
    <w:multiLevelType w:val="hybridMultilevel"/>
    <w:tmpl w:val="64CE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85DF1"/>
    <w:multiLevelType w:val="hybridMultilevel"/>
    <w:tmpl w:val="8FF4F558"/>
    <w:lvl w:ilvl="0" w:tplc="80FE1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53D10"/>
    <w:multiLevelType w:val="hybridMultilevel"/>
    <w:tmpl w:val="81C855F0"/>
    <w:lvl w:ilvl="0" w:tplc="6A7A40BE">
      <w:start w:val="1"/>
      <w:numFmt w:val="bullet"/>
      <w:lvlText w:val="•"/>
      <w:lvlJc w:val="left"/>
      <w:pPr>
        <w:tabs>
          <w:tab w:val="num" w:pos="720"/>
        </w:tabs>
        <w:ind w:left="720" w:hanging="360"/>
      </w:pPr>
      <w:rPr>
        <w:rFonts w:ascii="Arial" w:hAnsi="Arial" w:hint="default"/>
      </w:rPr>
    </w:lvl>
    <w:lvl w:ilvl="1" w:tplc="48F8C930" w:tentative="1">
      <w:start w:val="1"/>
      <w:numFmt w:val="bullet"/>
      <w:lvlText w:val="•"/>
      <w:lvlJc w:val="left"/>
      <w:pPr>
        <w:tabs>
          <w:tab w:val="num" w:pos="1440"/>
        </w:tabs>
        <w:ind w:left="1440" w:hanging="360"/>
      </w:pPr>
      <w:rPr>
        <w:rFonts w:ascii="Arial" w:hAnsi="Arial" w:hint="default"/>
      </w:rPr>
    </w:lvl>
    <w:lvl w:ilvl="2" w:tplc="EF4E18A6" w:tentative="1">
      <w:start w:val="1"/>
      <w:numFmt w:val="bullet"/>
      <w:lvlText w:val="•"/>
      <w:lvlJc w:val="left"/>
      <w:pPr>
        <w:tabs>
          <w:tab w:val="num" w:pos="2160"/>
        </w:tabs>
        <w:ind w:left="2160" w:hanging="360"/>
      </w:pPr>
      <w:rPr>
        <w:rFonts w:ascii="Arial" w:hAnsi="Arial" w:hint="default"/>
      </w:rPr>
    </w:lvl>
    <w:lvl w:ilvl="3" w:tplc="1BFE64F8" w:tentative="1">
      <w:start w:val="1"/>
      <w:numFmt w:val="bullet"/>
      <w:lvlText w:val="•"/>
      <w:lvlJc w:val="left"/>
      <w:pPr>
        <w:tabs>
          <w:tab w:val="num" w:pos="2880"/>
        </w:tabs>
        <w:ind w:left="2880" w:hanging="360"/>
      </w:pPr>
      <w:rPr>
        <w:rFonts w:ascii="Arial" w:hAnsi="Arial" w:hint="default"/>
      </w:rPr>
    </w:lvl>
    <w:lvl w:ilvl="4" w:tplc="FE0EEC54" w:tentative="1">
      <w:start w:val="1"/>
      <w:numFmt w:val="bullet"/>
      <w:lvlText w:val="•"/>
      <w:lvlJc w:val="left"/>
      <w:pPr>
        <w:tabs>
          <w:tab w:val="num" w:pos="3600"/>
        </w:tabs>
        <w:ind w:left="3600" w:hanging="360"/>
      </w:pPr>
      <w:rPr>
        <w:rFonts w:ascii="Arial" w:hAnsi="Arial" w:hint="default"/>
      </w:rPr>
    </w:lvl>
    <w:lvl w:ilvl="5" w:tplc="15FCEBA6" w:tentative="1">
      <w:start w:val="1"/>
      <w:numFmt w:val="bullet"/>
      <w:lvlText w:val="•"/>
      <w:lvlJc w:val="left"/>
      <w:pPr>
        <w:tabs>
          <w:tab w:val="num" w:pos="4320"/>
        </w:tabs>
        <w:ind w:left="4320" w:hanging="360"/>
      </w:pPr>
      <w:rPr>
        <w:rFonts w:ascii="Arial" w:hAnsi="Arial" w:hint="default"/>
      </w:rPr>
    </w:lvl>
    <w:lvl w:ilvl="6" w:tplc="E13E8F84" w:tentative="1">
      <w:start w:val="1"/>
      <w:numFmt w:val="bullet"/>
      <w:lvlText w:val="•"/>
      <w:lvlJc w:val="left"/>
      <w:pPr>
        <w:tabs>
          <w:tab w:val="num" w:pos="5040"/>
        </w:tabs>
        <w:ind w:left="5040" w:hanging="360"/>
      </w:pPr>
      <w:rPr>
        <w:rFonts w:ascii="Arial" w:hAnsi="Arial" w:hint="default"/>
      </w:rPr>
    </w:lvl>
    <w:lvl w:ilvl="7" w:tplc="62D02F28" w:tentative="1">
      <w:start w:val="1"/>
      <w:numFmt w:val="bullet"/>
      <w:lvlText w:val="•"/>
      <w:lvlJc w:val="left"/>
      <w:pPr>
        <w:tabs>
          <w:tab w:val="num" w:pos="5760"/>
        </w:tabs>
        <w:ind w:left="5760" w:hanging="360"/>
      </w:pPr>
      <w:rPr>
        <w:rFonts w:ascii="Arial" w:hAnsi="Arial" w:hint="default"/>
      </w:rPr>
    </w:lvl>
    <w:lvl w:ilvl="8" w:tplc="59CA0D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903CCB"/>
    <w:multiLevelType w:val="hybridMultilevel"/>
    <w:tmpl w:val="ECEA9186"/>
    <w:lvl w:ilvl="0" w:tplc="5B58DB1A">
      <w:start w:val="1"/>
      <w:numFmt w:val="bullet"/>
      <w:lvlText w:val=""/>
      <w:lvlJc w:val="left"/>
      <w:pPr>
        <w:tabs>
          <w:tab w:val="num" w:pos="720"/>
        </w:tabs>
        <w:ind w:left="720" w:hanging="360"/>
      </w:pPr>
      <w:rPr>
        <w:rFonts w:ascii="Symbol" w:hAnsi="Symbol" w:hint="default"/>
      </w:rPr>
    </w:lvl>
    <w:lvl w:ilvl="1" w:tplc="0928A87A" w:tentative="1">
      <w:start w:val="1"/>
      <w:numFmt w:val="bullet"/>
      <w:lvlText w:val=""/>
      <w:lvlJc w:val="left"/>
      <w:pPr>
        <w:tabs>
          <w:tab w:val="num" w:pos="1440"/>
        </w:tabs>
        <w:ind w:left="1440" w:hanging="360"/>
      </w:pPr>
      <w:rPr>
        <w:rFonts w:ascii="Symbol" w:hAnsi="Symbol" w:hint="default"/>
      </w:rPr>
    </w:lvl>
    <w:lvl w:ilvl="2" w:tplc="F9F4977C" w:tentative="1">
      <w:start w:val="1"/>
      <w:numFmt w:val="bullet"/>
      <w:lvlText w:val=""/>
      <w:lvlJc w:val="left"/>
      <w:pPr>
        <w:tabs>
          <w:tab w:val="num" w:pos="2160"/>
        </w:tabs>
        <w:ind w:left="2160" w:hanging="360"/>
      </w:pPr>
      <w:rPr>
        <w:rFonts w:ascii="Symbol" w:hAnsi="Symbol" w:hint="default"/>
      </w:rPr>
    </w:lvl>
    <w:lvl w:ilvl="3" w:tplc="11F43308" w:tentative="1">
      <w:start w:val="1"/>
      <w:numFmt w:val="bullet"/>
      <w:lvlText w:val=""/>
      <w:lvlJc w:val="left"/>
      <w:pPr>
        <w:tabs>
          <w:tab w:val="num" w:pos="2880"/>
        </w:tabs>
        <w:ind w:left="2880" w:hanging="360"/>
      </w:pPr>
      <w:rPr>
        <w:rFonts w:ascii="Symbol" w:hAnsi="Symbol" w:hint="default"/>
      </w:rPr>
    </w:lvl>
    <w:lvl w:ilvl="4" w:tplc="24285DDA" w:tentative="1">
      <w:start w:val="1"/>
      <w:numFmt w:val="bullet"/>
      <w:lvlText w:val=""/>
      <w:lvlJc w:val="left"/>
      <w:pPr>
        <w:tabs>
          <w:tab w:val="num" w:pos="3600"/>
        </w:tabs>
        <w:ind w:left="3600" w:hanging="360"/>
      </w:pPr>
      <w:rPr>
        <w:rFonts w:ascii="Symbol" w:hAnsi="Symbol" w:hint="default"/>
      </w:rPr>
    </w:lvl>
    <w:lvl w:ilvl="5" w:tplc="1326E7E6" w:tentative="1">
      <w:start w:val="1"/>
      <w:numFmt w:val="bullet"/>
      <w:lvlText w:val=""/>
      <w:lvlJc w:val="left"/>
      <w:pPr>
        <w:tabs>
          <w:tab w:val="num" w:pos="4320"/>
        </w:tabs>
        <w:ind w:left="4320" w:hanging="360"/>
      </w:pPr>
      <w:rPr>
        <w:rFonts w:ascii="Symbol" w:hAnsi="Symbol" w:hint="default"/>
      </w:rPr>
    </w:lvl>
    <w:lvl w:ilvl="6" w:tplc="093C8BCA" w:tentative="1">
      <w:start w:val="1"/>
      <w:numFmt w:val="bullet"/>
      <w:lvlText w:val=""/>
      <w:lvlJc w:val="left"/>
      <w:pPr>
        <w:tabs>
          <w:tab w:val="num" w:pos="5040"/>
        </w:tabs>
        <w:ind w:left="5040" w:hanging="360"/>
      </w:pPr>
      <w:rPr>
        <w:rFonts w:ascii="Symbol" w:hAnsi="Symbol" w:hint="default"/>
      </w:rPr>
    </w:lvl>
    <w:lvl w:ilvl="7" w:tplc="61B60C60" w:tentative="1">
      <w:start w:val="1"/>
      <w:numFmt w:val="bullet"/>
      <w:lvlText w:val=""/>
      <w:lvlJc w:val="left"/>
      <w:pPr>
        <w:tabs>
          <w:tab w:val="num" w:pos="5760"/>
        </w:tabs>
        <w:ind w:left="5760" w:hanging="360"/>
      </w:pPr>
      <w:rPr>
        <w:rFonts w:ascii="Symbol" w:hAnsi="Symbol" w:hint="default"/>
      </w:rPr>
    </w:lvl>
    <w:lvl w:ilvl="8" w:tplc="44D86146" w:tentative="1">
      <w:start w:val="1"/>
      <w:numFmt w:val="bullet"/>
      <w:lvlText w:val=""/>
      <w:lvlJc w:val="left"/>
      <w:pPr>
        <w:tabs>
          <w:tab w:val="num" w:pos="6480"/>
        </w:tabs>
        <w:ind w:left="6480" w:hanging="360"/>
      </w:pPr>
      <w:rPr>
        <w:rFonts w:ascii="Symbol" w:hAnsi="Symbol" w:hint="default"/>
      </w:rPr>
    </w:lvl>
  </w:abstractNum>
  <w:num w:numId="1" w16cid:durableId="1833567272">
    <w:abstractNumId w:val="2"/>
  </w:num>
  <w:num w:numId="2" w16cid:durableId="1926524900">
    <w:abstractNumId w:val="0"/>
  </w:num>
  <w:num w:numId="3" w16cid:durableId="244190732">
    <w:abstractNumId w:val="3"/>
  </w:num>
  <w:num w:numId="4" w16cid:durableId="175968129">
    <w:abstractNumId w:val="1"/>
  </w:num>
  <w:num w:numId="5" w16cid:durableId="2117868338">
    <w:abstractNumId w:val="5"/>
  </w:num>
  <w:num w:numId="6" w16cid:durableId="1682704982">
    <w:abstractNumId w:val="6"/>
  </w:num>
  <w:num w:numId="7" w16cid:durableId="2280018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59"/>
    <w:rsid w:val="00071DEE"/>
    <w:rsid w:val="000947E5"/>
    <w:rsid w:val="000A07D8"/>
    <w:rsid w:val="000A0F1D"/>
    <w:rsid w:val="0015591B"/>
    <w:rsid w:val="001902F3"/>
    <w:rsid w:val="00197A44"/>
    <w:rsid w:val="001B65C7"/>
    <w:rsid w:val="001C1F00"/>
    <w:rsid w:val="001D6720"/>
    <w:rsid w:val="00244B67"/>
    <w:rsid w:val="002454DD"/>
    <w:rsid w:val="00266CDE"/>
    <w:rsid w:val="002F0605"/>
    <w:rsid w:val="002F5755"/>
    <w:rsid w:val="00356A74"/>
    <w:rsid w:val="003B605F"/>
    <w:rsid w:val="003F797F"/>
    <w:rsid w:val="00416B2F"/>
    <w:rsid w:val="00443C74"/>
    <w:rsid w:val="00453E07"/>
    <w:rsid w:val="004B3F8E"/>
    <w:rsid w:val="004F3492"/>
    <w:rsid w:val="004F5BBB"/>
    <w:rsid w:val="00500A22"/>
    <w:rsid w:val="00593842"/>
    <w:rsid w:val="005A212B"/>
    <w:rsid w:val="00657E6A"/>
    <w:rsid w:val="00673AFE"/>
    <w:rsid w:val="006E5FC7"/>
    <w:rsid w:val="006F684A"/>
    <w:rsid w:val="007339F3"/>
    <w:rsid w:val="00757537"/>
    <w:rsid w:val="00771625"/>
    <w:rsid w:val="007A4B91"/>
    <w:rsid w:val="007A7259"/>
    <w:rsid w:val="00803A82"/>
    <w:rsid w:val="00881AE8"/>
    <w:rsid w:val="008836BC"/>
    <w:rsid w:val="008A6D1A"/>
    <w:rsid w:val="008C4907"/>
    <w:rsid w:val="008C590C"/>
    <w:rsid w:val="008C6955"/>
    <w:rsid w:val="008C6B82"/>
    <w:rsid w:val="00985416"/>
    <w:rsid w:val="009E27A8"/>
    <w:rsid w:val="00A37167"/>
    <w:rsid w:val="00AA1C62"/>
    <w:rsid w:val="00AD64BD"/>
    <w:rsid w:val="00AF09AC"/>
    <w:rsid w:val="00AF5646"/>
    <w:rsid w:val="00AF6D48"/>
    <w:rsid w:val="00B06F56"/>
    <w:rsid w:val="00B46D7B"/>
    <w:rsid w:val="00B6568E"/>
    <w:rsid w:val="00B91734"/>
    <w:rsid w:val="00BA0C79"/>
    <w:rsid w:val="00BA6B94"/>
    <w:rsid w:val="00BC53C7"/>
    <w:rsid w:val="00BF15A9"/>
    <w:rsid w:val="00C1007B"/>
    <w:rsid w:val="00C82ABD"/>
    <w:rsid w:val="00CA3333"/>
    <w:rsid w:val="00CB2BB8"/>
    <w:rsid w:val="00CB4709"/>
    <w:rsid w:val="00CD6FD1"/>
    <w:rsid w:val="00D1189C"/>
    <w:rsid w:val="00D12D51"/>
    <w:rsid w:val="00D24770"/>
    <w:rsid w:val="00D80039"/>
    <w:rsid w:val="00DA353E"/>
    <w:rsid w:val="00DC207A"/>
    <w:rsid w:val="00E34CCC"/>
    <w:rsid w:val="00E37F98"/>
    <w:rsid w:val="00E644D0"/>
    <w:rsid w:val="00E65E84"/>
    <w:rsid w:val="00EA3D96"/>
    <w:rsid w:val="00F226AA"/>
    <w:rsid w:val="00F37A0A"/>
    <w:rsid w:val="00F445E3"/>
    <w:rsid w:val="00F91EA9"/>
    <w:rsid w:val="00F9550E"/>
    <w:rsid w:val="00FC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9CEF"/>
  <w15:chartTrackingRefBased/>
  <w15:docId w15:val="{92F824CF-2C79-4934-A4CC-CCF7DBB8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59"/>
    <w:pPr>
      <w:spacing w:line="256" w:lineRule="auto"/>
    </w:pPr>
  </w:style>
  <w:style w:type="paragraph" w:styleId="Heading1">
    <w:name w:val="heading 1"/>
    <w:basedOn w:val="Normal"/>
    <w:link w:val="Heading1Char"/>
    <w:uiPriority w:val="9"/>
    <w:qFormat/>
    <w:rsid w:val="00071D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259"/>
    <w:pPr>
      <w:ind w:left="720"/>
      <w:contextualSpacing/>
    </w:pPr>
  </w:style>
  <w:style w:type="character" w:customStyle="1" w:styleId="Heading1Char">
    <w:name w:val="Heading 1 Char"/>
    <w:basedOn w:val="DefaultParagraphFont"/>
    <w:link w:val="Heading1"/>
    <w:uiPriority w:val="9"/>
    <w:rsid w:val="00071DE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71DEE"/>
    <w:rPr>
      <w:color w:val="0000FF"/>
      <w:u w:val="single"/>
    </w:rPr>
  </w:style>
  <w:style w:type="paragraph" w:customStyle="1" w:styleId="site-description">
    <w:name w:val="site-description"/>
    <w:basedOn w:val="Normal"/>
    <w:rsid w:val="00071D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64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B2F"/>
  </w:style>
  <w:style w:type="paragraph" w:styleId="Footer">
    <w:name w:val="footer"/>
    <w:basedOn w:val="Normal"/>
    <w:link w:val="FooterChar"/>
    <w:uiPriority w:val="99"/>
    <w:unhideWhenUsed/>
    <w:rsid w:val="0041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2F"/>
  </w:style>
  <w:style w:type="character" w:styleId="UnresolvedMention">
    <w:name w:val="Unresolved Mention"/>
    <w:basedOn w:val="DefaultParagraphFont"/>
    <w:uiPriority w:val="99"/>
    <w:semiHidden/>
    <w:unhideWhenUsed/>
    <w:rsid w:val="00416B2F"/>
    <w:rPr>
      <w:color w:val="605E5C"/>
      <w:shd w:val="clear" w:color="auto" w:fill="E1DFDD"/>
    </w:rPr>
  </w:style>
  <w:style w:type="table" w:styleId="TableGrid">
    <w:name w:val="Table Grid"/>
    <w:basedOn w:val="TableNormal"/>
    <w:uiPriority w:val="39"/>
    <w:rsid w:val="00CA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4B91"/>
    <w:rPr>
      <w:sz w:val="16"/>
      <w:szCs w:val="16"/>
    </w:rPr>
  </w:style>
  <w:style w:type="paragraph" w:styleId="CommentText">
    <w:name w:val="annotation text"/>
    <w:basedOn w:val="Normal"/>
    <w:link w:val="CommentTextChar"/>
    <w:uiPriority w:val="99"/>
    <w:semiHidden/>
    <w:unhideWhenUsed/>
    <w:rsid w:val="007A4B91"/>
    <w:pPr>
      <w:spacing w:line="240" w:lineRule="auto"/>
    </w:pPr>
    <w:rPr>
      <w:sz w:val="20"/>
      <w:szCs w:val="20"/>
    </w:rPr>
  </w:style>
  <w:style w:type="character" w:customStyle="1" w:styleId="CommentTextChar">
    <w:name w:val="Comment Text Char"/>
    <w:basedOn w:val="DefaultParagraphFont"/>
    <w:link w:val="CommentText"/>
    <w:uiPriority w:val="99"/>
    <w:semiHidden/>
    <w:rsid w:val="007A4B91"/>
    <w:rPr>
      <w:sz w:val="20"/>
      <w:szCs w:val="20"/>
    </w:rPr>
  </w:style>
  <w:style w:type="paragraph" w:styleId="CommentSubject">
    <w:name w:val="annotation subject"/>
    <w:basedOn w:val="CommentText"/>
    <w:next w:val="CommentText"/>
    <w:link w:val="CommentSubjectChar"/>
    <w:uiPriority w:val="99"/>
    <w:semiHidden/>
    <w:unhideWhenUsed/>
    <w:rsid w:val="007A4B91"/>
    <w:rPr>
      <w:b/>
      <w:bCs/>
    </w:rPr>
  </w:style>
  <w:style w:type="character" w:customStyle="1" w:styleId="CommentSubjectChar">
    <w:name w:val="Comment Subject Char"/>
    <w:basedOn w:val="CommentTextChar"/>
    <w:link w:val="CommentSubject"/>
    <w:uiPriority w:val="99"/>
    <w:semiHidden/>
    <w:rsid w:val="007A4B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1900">
      <w:bodyDiv w:val="1"/>
      <w:marLeft w:val="0"/>
      <w:marRight w:val="0"/>
      <w:marTop w:val="0"/>
      <w:marBottom w:val="0"/>
      <w:divBdr>
        <w:top w:val="none" w:sz="0" w:space="0" w:color="auto"/>
        <w:left w:val="none" w:sz="0" w:space="0" w:color="auto"/>
        <w:bottom w:val="none" w:sz="0" w:space="0" w:color="auto"/>
        <w:right w:val="none" w:sz="0" w:space="0" w:color="auto"/>
      </w:divBdr>
    </w:div>
    <w:div w:id="640505671">
      <w:bodyDiv w:val="1"/>
      <w:marLeft w:val="0"/>
      <w:marRight w:val="0"/>
      <w:marTop w:val="0"/>
      <w:marBottom w:val="0"/>
      <w:divBdr>
        <w:top w:val="none" w:sz="0" w:space="0" w:color="auto"/>
        <w:left w:val="none" w:sz="0" w:space="0" w:color="auto"/>
        <w:bottom w:val="none" w:sz="0" w:space="0" w:color="auto"/>
        <w:right w:val="none" w:sz="0" w:space="0" w:color="auto"/>
      </w:divBdr>
      <w:divsChild>
        <w:div w:id="1628857265">
          <w:marLeft w:val="547"/>
          <w:marRight w:val="0"/>
          <w:marTop w:val="0"/>
          <w:marBottom w:val="160"/>
          <w:divBdr>
            <w:top w:val="none" w:sz="0" w:space="0" w:color="auto"/>
            <w:left w:val="none" w:sz="0" w:space="0" w:color="auto"/>
            <w:bottom w:val="none" w:sz="0" w:space="0" w:color="auto"/>
            <w:right w:val="none" w:sz="0" w:space="0" w:color="auto"/>
          </w:divBdr>
        </w:div>
      </w:divsChild>
    </w:div>
    <w:div w:id="807943117">
      <w:bodyDiv w:val="1"/>
      <w:marLeft w:val="0"/>
      <w:marRight w:val="0"/>
      <w:marTop w:val="0"/>
      <w:marBottom w:val="0"/>
      <w:divBdr>
        <w:top w:val="none" w:sz="0" w:space="0" w:color="auto"/>
        <w:left w:val="none" w:sz="0" w:space="0" w:color="auto"/>
        <w:bottom w:val="none" w:sz="0" w:space="0" w:color="auto"/>
        <w:right w:val="none" w:sz="0" w:space="0" w:color="auto"/>
      </w:divBdr>
    </w:div>
    <w:div w:id="1125854572">
      <w:bodyDiv w:val="1"/>
      <w:marLeft w:val="0"/>
      <w:marRight w:val="0"/>
      <w:marTop w:val="0"/>
      <w:marBottom w:val="0"/>
      <w:divBdr>
        <w:top w:val="none" w:sz="0" w:space="0" w:color="auto"/>
        <w:left w:val="none" w:sz="0" w:space="0" w:color="auto"/>
        <w:bottom w:val="none" w:sz="0" w:space="0" w:color="auto"/>
        <w:right w:val="none" w:sz="0" w:space="0" w:color="auto"/>
      </w:divBdr>
      <w:divsChild>
        <w:div w:id="519123473">
          <w:marLeft w:val="907"/>
          <w:marRight w:val="0"/>
          <w:marTop w:val="0"/>
          <w:marBottom w:val="0"/>
          <w:divBdr>
            <w:top w:val="none" w:sz="0" w:space="0" w:color="auto"/>
            <w:left w:val="none" w:sz="0" w:space="0" w:color="auto"/>
            <w:bottom w:val="none" w:sz="0" w:space="0" w:color="auto"/>
            <w:right w:val="none" w:sz="0" w:space="0" w:color="auto"/>
          </w:divBdr>
        </w:div>
        <w:div w:id="623997863">
          <w:marLeft w:val="907"/>
          <w:marRight w:val="0"/>
          <w:marTop w:val="0"/>
          <w:marBottom w:val="0"/>
          <w:divBdr>
            <w:top w:val="none" w:sz="0" w:space="0" w:color="auto"/>
            <w:left w:val="none" w:sz="0" w:space="0" w:color="auto"/>
            <w:bottom w:val="none" w:sz="0" w:space="0" w:color="auto"/>
            <w:right w:val="none" w:sz="0" w:space="0" w:color="auto"/>
          </w:divBdr>
        </w:div>
        <w:div w:id="1865708494">
          <w:marLeft w:val="907"/>
          <w:marRight w:val="0"/>
          <w:marTop w:val="0"/>
          <w:marBottom w:val="0"/>
          <w:divBdr>
            <w:top w:val="none" w:sz="0" w:space="0" w:color="auto"/>
            <w:left w:val="none" w:sz="0" w:space="0" w:color="auto"/>
            <w:bottom w:val="none" w:sz="0" w:space="0" w:color="auto"/>
            <w:right w:val="none" w:sz="0" w:space="0" w:color="auto"/>
          </w:divBdr>
        </w:div>
      </w:divsChild>
    </w:div>
    <w:div w:id="1356543087">
      <w:bodyDiv w:val="1"/>
      <w:marLeft w:val="0"/>
      <w:marRight w:val="0"/>
      <w:marTop w:val="0"/>
      <w:marBottom w:val="0"/>
      <w:divBdr>
        <w:top w:val="none" w:sz="0" w:space="0" w:color="auto"/>
        <w:left w:val="none" w:sz="0" w:space="0" w:color="auto"/>
        <w:bottom w:val="none" w:sz="0" w:space="0" w:color="auto"/>
        <w:right w:val="none" w:sz="0" w:space="0" w:color="auto"/>
      </w:divBdr>
    </w:div>
    <w:div w:id="18307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ssmed.edu/tobac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ine.cranos@umassme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8FD91-1C78-4EA1-8577-FC5A8DF6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Cranos, Caroline</dc:creator>
  <cp:keywords/>
  <dc:description/>
  <cp:lastModifiedBy>Costas, Karen C</cp:lastModifiedBy>
  <cp:revision>2</cp:revision>
  <dcterms:created xsi:type="dcterms:W3CDTF">2022-06-17T16:46:00Z</dcterms:created>
  <dcterms:modified xsi:type="dcterms:W3CDTF">2022-06-17T16:46:00Z</dcterms:modified>
</cp:coreProperties>
</file>