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20" w:rsidRPr="00C063C4" w:rsidRDefault="00517220">
      <w:pPr>
        <w:pStyle w:val="Heading1"/>
        <w:rPr>
          <w:sz w:val="28"/>
        </w:rPr>
      </w:pPr>
      <w:r w:rsidRPr="00C063C4">
        <w:rPr>
          <w:sz w:val="28"/>
        </w:rPr>
        <w:t>Policy on Post-Exposure Prophylaxis for Student Traveling Abroad</w:t>
      </w:r>
    </w:p>
    <w:p w:rsidR="00517220" w:rsidRPr="00C063C4" w:rsidRDefault="00517220">
      <w:pPr>
        <w:rPr>
          <w:rFonts w:ascii="Arial" w:hAnsi="Arial" w:cs="Arial"/>
          <w:sz w:val="16"/>
        </w:rPr>
      </w:pPr>
    </w:p>
    <w:p w:rsidR="00517220" w:rsidRPr="00C063C4" w:rsidRDefault="00517220">
      <w:pPr>
        <w:pStyle w:val="Heading1"/>
        <w:rPr>
          <w:sz w:val="16"/>
        </w:rPr>
      </w:pPr>
      <w:r w:rsidRPr="00C063C4">
        <w:t>Purpose</w:t>
      </w:r>
    </w:p>
    <w:p w:rsidR="00517220" w:rsidRPr="00C063C4" w:rsidRDefault="00517220">
      <w:pPr>
        <w:rPr>
          <w:rFonts w:ascii="Arial" w:hAnsi="Arial" w:cs="Arial"/>
          <w:sz w:val="16"/>
        </w:rPr>
      </w:pPr>
    </w:p>
    <w:p w:rsidR="00517220" w:rsidRPr="00C063C4" w:rsidRDefault="00517220">
      <w:pPr>
        <w:pStyle w:val="BodyText"/>
        <w:rPr>
          <w:rFonts w:ascii="Arial" w:hAnsi="Arial" w:cs="Arial"/>
        </w:rPr>
      </w:pPr>
      <w:r w:rsidRPr="00C063C4">
        <w:rPr>
          <w:rFonts w:ascii="Arial" w:hAnsi="Arial" w:cs="Arial"/>
        </w:rPr>
        <w:t xml:space="preserve">To provide education on standard precautions and blood borne pathogen exposures including post-exposure prophylaxis and emergency contact information when traveling abroad.  </w:t>
      </w:r>
    </w:p>
    <w:p w:rsidR="00517220" w:rsidRPr="00C063C4" w:rsidRDefault="00517220">
      <w:pPr>
        <w:rPr>
          <w:rFonts w:ascii="Arial" w:hAnsi="Arial" w:cs="Arial"/>
          <w:sz w:val="22"/>
        </w:rPr>
      </w:pPr>
    </w:p>
    <w:p w:rsidR="00517220" w:rsidRPr="00C063C4" w:rsidRDefault="00517220">
      <w:pPr>
        <w:pStyle w:val="Heading1"/>
        <w:rPr>
          <w:sz w:val="22"/>
        </w:rPr>
      </w:pPr>
      <w:r w:rsidRPr="00C063C4">
        <w:rPr>
          <w:sz w:val="22"/>
        </w:rPr>
        <w:t>Protocol</w:t>
      </w:r>
    </w:p>
    <w:p w:rsidR="00517220" w:rsidRPr="00C063C4" w:rsidRDefault="00517220">
      <w:pPr>
        <w:numPr>
          <w:ilvl w:val="0"/>
          <w:numId w:val="1"/>
        </w:numPr>
        <w:rPr>
          <w:rFonts w:ascii="Arial" w:hAnsi="Arial" w:cs="Arial"/>
          <w:sz w:val="22"/>
        </w:rPr>
      </w:pPr>
      <w:r w:rsidRPr="00C063C4">
        <w:rPr>
          <w:rFonts w:ascii="Arial" w:hAnsi="Arial" w:cs="Arial"/>
          <w:sz w:val="22"/>
        </w:rPr>
        <w:t>All students are required to make an appointment with Student Health or their own PCP to review required immunizations for that country, to discuss other required medical prophylaxis issues, and to discuss the post exposure prophylaxis (PEP) protocol.  The students will receive hand outs on PEP.</w:t>
      </w:r>
      <w:r w:rsidRPr="00C063C4">
        <w:rPr>
          <w:rFonts w:ascii="Arial" w:hAnsi="Arial" w:cs="Arial"/>
          <w:sz w:val="22"/>
        </w:rPr>
        <w:br/>
      </w:r>
    </w:p>
    <w:p w:rsidR="00517220" w:rsidRPr="00622549" w:rsidRDefault="00517220" w:rsidP="00622549">
      <w:pPr>
        <w:numPr>
          <w:ilvl w:val="0"/>
          <w:numId w:val="1"/>
        </w:numPr>
        <w:rPr>
          <w:rFonts w:ascii="Arial" w:hAnsi="Arial" w:cs="Arial"/>
          <w:sz w:val="22"/>
        </w:rPr>
      </w:pPr>
      <w:r w:rsidRPr="00C063C4">
        <w:rPr>
          <w:rFonts w:ascii="Arial" w:hAnsi="Arial" w:cs="Arial"/>
          <w:sz w:val="22"/>
        </w:rPr>
        <w:t>Standard precautions (universal precautions) education will be reviewed as well as length of time, types of procedures, and level of medical care the student will be involved with while traveling abroad.</w:t>
      </w:r>
      <w:r w:rsidRPr="00C063C4">
        <w:rPr>
          <w:rFonts w:ascii="Arial" w:hAnsi="Arial" w:cs="Arial"/>
          <w:sz w:val="22"/>
        </w:rPr>
        <w:br/>
      </w:r>
    </w:p>
    <w:p w:rsidR="00517220" w:rsidRPr="00C063C4" w:rsidRDefault="00622549">
      <w:pPr>
        <w:numPr>
          <w:ilvl w:val="0"/>
          <w:numId w:val="1"/>
        </w:numPr>
        <w:rPr>
          <w:rFonts w:ascii="Arial" w:hAnsi="Arial" w:cs="Arial"/>
          <w:sz w:val="22"/>
        </w:rPr>
      </w:pPr>
      <w:r>
        <w:rPr>
          <w:rFonts w:ascii="Arial" w:hAnsi="Arial" w:cs="Arial"/>
          <w:sz w:val="22"/>
        </w:rPr>
        <w:t>For higher risk clinical experiences</w:t>
      </w:r>
      <w:r w:rsidR="00340F8C">
        <w:rPr>
          <w:rFonts w:ascii="Arial" w:hAnsi="Arial" w:cs="Arial"/>
          <w:sz w:val="22"/>
        </w:rPr>
        <w:t xml:space="preserve"> in more remote countries</w:t>
      </w:r>
      <w:r w:rsidR="00517220" w:rsidRPr="00C063C4">
        <w:rPr>
          <w:rFonts w:ascii="Arial" w:hAnsi="Arial" w:cs="Arial"/>
          <w:sz w:val="22"/>
        </w:rPr>
        <w:t>, the PEP will be reviewed and the student will be given post expo</w:t>
      </w:r>
      <w:r w:rsidR="00860686">
        <w:rPr>
          <w:rFonts w:ascii="Arial" w:hAnsi="Arial" w:cs="Arial"/>
          <w:sz w:val="22"/>
        </w:rPr>
        <w:t>sure medications including</w:t>
      </w:r>
      <w:r>
        <w:rPr>
          <w:rFonts w:ascii="Arial" w:hAnsi="Arial" w:cs="Arial"/>
          <w:sz w:val="22"/>
        </w:rPr>
        <w:t xml:space="preserve">: </w:t>
      </w:r>
      <w:r w:rsidRPr="00340F8C">
        <w:rPr>
          <w:rFonts w:ascii="Arial" w:hAnsi="Arial" w:cs="Arial"/>
          <w:b/>
          <w:sz w:val="22"/>
        </w:rPr>
        <w:t>Raltegravir 400mg PO twice daily</w:t>
      </w:r>
      <w:r w:rsidR="00340F8C">
        <w:rPr>
          <w:rFonts w:ascii="Arial" w:hAnsi="Arial" w:cs="Arial"/>
          <w:b/>
          <w:sz w:val="22"/>
        </w:rPr>
        <w:t xml:space="preserve"> </w:t>
      </w:r>
      <w:r w:rsidR="00340F8C">
        <w:rPr>
          <w:rFonts w:ascii="Arial" w:hAnsi="Arial" w:cs="Arial"/>
          <w:sz w:val="22"/>
        </w:rPr>
        <w:t xml:space="preserve">(Isentress; RAL) </w:t>
      </w:r>
      <w:r w:rsidR="00340F8C">
        <w:rPr>
          <w:rFonts w:ascii="Arial" w:hAnsi="Arial" w:cs="Arial"/>
          <w:b/>
          <w:sz w:val="22"/>
        </w:rPr>
        <w:t xml:space="preserve"> </w:t>
      </w:r>
      <w:r w:rsidRPr="00340F8C">
        <w:rPr>
          <w:rFonts w:ascii="Arial" w:hAnsi="Arial" w:cs="Arial"/>
          <w:b/>
          <w:sz w:val="22"/>
        </w:rPr>
        <w:t xml:space="preserve"> </w:t>
      </w:r>
      <w:r>
        <w:rPr>
          <w:rFonts w:ascii="Arial" w:hAnsi="Arial" w:cs="Arial"/>
          <w:sz w:val="22"/>
        </w:rPr>
        <w:t xml:space="preserve">plus </w:t>
      </w:r>
      <w:r w:rsidRPr="00340F8C">
        <w:rPr>
          <w:rFonts w:ascii="Arial" w:hAnsi="Arial" w:cs="Arial"/>
          <w:b/>
          <w:sz w:val="22"/>
        </w:rPr>
        <w:t>Truvada</w:t>
      </w:r>
      <w:r>
        <w:rPr>
          <w:rFonts w:ascii="Arial" w:hAnsi="Arial" w:cs="Arial"/>
          <w:sz w:val="22"/>
        </w:rPr>
        <w:t xml:space="preserve">, </w:t>
      </w:r>
      <w:r w:rsidRPr="00340F8C">
        <w:rPr>
          <w:rFonts w:ascii="Arial" w:hAnsi="Arial" w:cs="Arial"/>
          <w:b/>
          <w:sz w:val="22"/>
        </w:rPr>
        <w:t>1 PO once daily</w:t>
      </w:r>
      <w:r>
        <w:rPr>
          <w:rFonts w:ascii="Arial" w:hAnsi="Arial" w:cs="Arial"/>
          <w:sz w:val="22"/>
        </w:rPr>
        <w:t xml:space="preserve"> (Tenofovir DF (Viread: TDF) 300mg + emtri</w:t>
      </w:r>
      <w:r w:rsidR="00340F8C">
        <w:rPr>
          <w:rFonts w:ascii="Arial" w:hAnsi="Arial" w:cs="Arial"/>
          <w:sz w:val="22"/>
        </w:rPr>
        <w:t xml:space="preserve">citabine (Emtriva: FTC) 200mg ) </w:t>
      </w:r>
      <w:r w:rsidR="00860686">
        <w:rPr>
          <w:rFonts w:ascii="Arial" w:hAnsi="Arial" w:cs="Arial"/>
          <w:sz w:val="22"/>
        </w:rPr>
        <w:t>for a seven day course</w:t>
      </w:r>
      <w:r w:rsidR="00517220" w:rsidRPr="00C063C4">
        <w:rPr>
          <w:rFonts w:ascii="Arial" w:hAnsi="Arial" w:cs="Arial"/>
          <w:sz w:val="22"/>
        </w:rPr>
        <w:t xml:space="preserve">.  </w:t>
      </w:r>
      <w:r w:rsidR="00340F8C">
        <w:rPr>
          <w:rFonts w:ascii="Arial" w:hAnsi="Arial" w:cs="Arial"/>
          <w:sz w:val="22"/>
        </w:rPr>
        <w:t xml:space="preserve">If known kidney disease then Combvir 1 BID. </w:t>
      </w:r>
      <w:r w:rsidR="00517220" w:rsidRPr="00C063C4">
        <w:rPr>
          <w:rFonts w:ascii="Arial" w:hAnsi="Arial" w:cs="Arial"/>
          <w:sz w:val="22"/>
        </w:rPr>
        <w:t>The drug interactions, side affects, and the patient’s medical history will be reviewed.  The indications for taking the medications will also be reviewed including assessing the level of risk for the exposure.</w:t>
      </w:r>
      <w:r w:rsidR="00376049">
        <w:rPr>
          <w:rFonts w:ascii="Arial" w:hAnsi="Arial" w:cs="Arial"/>
          <w:sz w:val="22"/>
        </w:rPr>
        <w:t xml:space="preserve">  Drug information sheets will be distributed.</w:t>
      </w:r>
      <w:r w:rsidR="00517220" w:rsidRPr="00C063C4">
        <w:rPr>
          <w:rFonts w:ascii="Arial" w:hAnsi="Arial" w:cs="Arial"/>
          <w:sz w:val="22"/>
        </w:rPr>
        <w:br/>
      </w:r>
    </w:p>
    <w:p w:rsidR="00517220" w:rsidRPr="00C063C4" w:rsidRDefault="00517220">
      <w:pPr>
        <w:numPr>
          <w:ilvl w:val="0"/>
          <w:numId w:val="1"/>
        </w:numPr>
        <w:rPr>
          <w:rFonts w:ascii="Arial" w:hAnsi="Arial" w:cs="Arial"/>
          <w:sz w:val="22"/>
        </w:rPr>
      </w:pPr>
      <w:r w:rsidRPr="00C063C4">
        <w:rPr>
          <w:rFonts w:ascii="Arial" w:hAnsi="Arial" w:cs="Arial"/>
          <w:sz w:val="22"/>
        </w:rPr>
        <w:t xml:space="preserve">Emergency medical provider contacts will be given to the students and they will be instructed to contact one of them prior to taking the medications.  The medical history </w:t>
      </w:r>
    </w:p>
    <w:p w:rsidR="00517220" w:rsidRPr="00C063C4" w:rsidRDefault="00517220">
      <w:pPr>
        <w:pStyle w:val="BodyTextIndent"/>
        <w:rPr>
          <w:rFonts w:ascii="Arial" w:hAnsi="Arial" w:cs="Arial"/>
          <w:sz w:val="22"/>
        </w:rPr>
      </w:pPr>
      <w:r w:rsidRPr="00C063C4">
        <w:rPr>
          <w:rFonts w:ascii="Arial" w:hAnsi="Arial" w:cs="Arial"/>
          <w:sz w:val="22"/>
        </w:rPr>
        <w:t>for the student as well as all pertinent history regarding the exposure of the source patient should be given to the emergency contact either by phone or e-mail.  The medications</w:t>
      </w:r>
      <w:r w:rsidRPr="00C063C4">
        <w:rPr>
          <w:rFonts w:ascii="Arial" w:hAnsi="Arial" w:cs="Arial"/>
          <w:sz w:val="22"/>
        </w:rPr>
        <w:br/>
        <w:t>should be started, if possible, within three hours after the exposure.</w:t>
      </w:r>
      <w:r w:rsidRPr="00C063C4">
        <w:rPr>
          <w:rFonts w:ascii="Arial" w:hAnsi="Arial" w:cs="Arial"/>
          <w:sz w:val="22"/>
        </w:rPr>
        <w:br/>
      </w:r>
    </w:p>
    <w:p w:rsidR="00517220" w:rsidRPr="00C063C4" w:rsidRDefault="00517220">
      <w:pPr>
        <w:numPr>
          <w:ilvl w:val="0"/>
          <w:numId w:val="1"/>
        </w:numPr>
        <w:rPr>
          <w:rFonts w:ascii="Arial" w:hAnsi="Arial" w:cs="Arial"/>
          <w:sz w:val="22"/>
        </w:rPr>
      </w:pPr>
      <w:r w:rsidRPr="00C063C4">
        <w:rPr>
          <w:rFonts w:ascii="Arial" w:hAnsi="Arial" w:cs="Arial"/>
          <w:sz w:val="22"/>
        </w:rPr>
        <w:t>The emergency contacts can also be used for any other medical issues that arise while traveling abroad.</w:t>
      </w:r>
      <w:r w:rsidRPr="00C063C4">
        <w:rPr>
          <w:rFonts w:ascii="Arial" w:hAnsi="Arial" w:cs="Arial"/>
          <w:sz w:val="22"/>
        </w:rPr>
        <w:br/>
      </w:r>
    </w:p>
    <w:p w:rsidR="00517220" w:rsidRPr="00C063C4" w:rsidRDefault="00517220">
      <w:pPr>
        <w:numPr>
          <w:ilvl w:val="0"/>
          <w:numId w:val="1"/>
        </w:numPr>
        <w:rPr>
          <w:rFonts w:ascii="Arial" w:hAnsi="Arial" w:cs="Arial"/>
          <w:sz w:val="22"/>
        </w:rPr>
      </w:pPr>
      <w:r w:rsidRPr="00C063C4">
        <w:rPr>
          <w:rFonts w:ascii="Arial" w:hAnsi="Arial" w:cs="Arial"/>
          <w:sz w:val="22"/>
        </w:rPr>
        <w:t>For the high risk exposures where the PEP medications are used, the student should return in 3 to 5 days and be reevaluated in the Student Health Center at the University Campus for further follow up for testing and counseling.</w:t>
      </w:r>
      <w:r w:rsidRPr="00C063C4">
        <w:rPr>
          <w:rFonts w:ascii="Arial" w:hAnsi="Arial" w:cs="Arial"/>
          <w:sz w:val="22"/>
        </w:rPr>
        <w:br/>
      </w:r>
    </w:p>
    <w:p w:rsidR="00517220" w:rsidRPr="00C063C4" w:rsidRDefault="00517220">
      <w:pPr>
        <w:numPr>
          <w:ilvl w:val="0"/>
          <w:numId w:val="1"/>
        </w:numPr>
        <w:rPr>
          <w:rFonts w:ascii="Arial" w:hAnsi="Arial" w:cs="Arial"/>
          <w:sz w:val="22"/>
        </w:rPr>
      </w:pPr>
      <w:r w:rsidRPr="00C063C4">
        <w:rPr>
          <w:rFonts w:ascii="Arial" w:hAnsi="Arial" w:cs="Arial"/>
          <w:sz w:val="22"/>
        </w:rPr>
        <w:t xml:space="preserve">Depending upon where the students are traveling they are encouraged to take some of their own standard precautions materials including gloves, masks and face shields. </w:t>
      </w:r>
    </w:p>
    <w:p w:rsidR="00517220" w:rsidRPr="00C063C4" w:rsidRDefault="00517220">
      <w:pPr>
        <w:rPr>
          <w:rFonts w:ascii="Arial" w:hAnsi="Arial" w:cs="Arial"/>
          <w:sz w:val="22"/>
        </w:rPr>
      </w:pPr>
    </w:p>
    <w:p w:rsidR="00517220" w:rsidRDefault="00517220">
      <w:pPr>
        <w:numPr>
          <w:ilvl w:val="0"/>
          <w:numId w:val="1"/>
        </w:numPr>
        <w:autoSpaceDE w:val="0"/>
        <w:autoSpaceDN w:val="0"/>
        <w:adjustRightInd w:val="0"/>
        <w:rPr>
          <w:rFonts w:ascii="Arial" w:hAnsi="Arial" w:cs="Arial"/>
          <w:sz w:val="22"/>
          <w:szCs w:val="20"/>
        </w:rPr>
      </w:pPr>
      <w:r w:rsidRPr="00C063C4">
        <w:rPr>
          <w:rFonts w:ascii="Arial" w:hAnsi="Arial" w:cs="Arial"/>
          <w:sz w:val="22"/>
          <w:szCs w:val="20"/>
        </w:rPr>
        <w:t>The student will be given a prescription for the medications which should be filled at the first floor pharmacy on t</w:t>
      </w:r>
      <w:r w:rsidR="00340F8C">
        <w:rPr>
          <w:rFonts w:ascii="Arial" w:hAnsi="Arial" w:cs="Arial"/>
          <w:sz w:val="22"/>
          <w:szCs w:val="20"/>
        </w:rPr>
        <w:t>he University campus.  Student H</w:t>
      </w:r>
      <w:r w:rsidRPr="00C063C4">
        <w:rPr>
          <w:rFonts w:ascii="Arial" w:hAnsi="Arial" w:cs="Arial"/>
          <w:sz w:val="22"/>
          <w:szCs w:val="20"/>
        </w:rPr>
        <w:t>ealth</w:t>
      </w:r>
      <w:r w:rsidR="00340F8C">
        <w:rPr>
          <w:rFonts w:ascii="Arial" w:hAnsi="Arial" w:cs="Arial"/>
          <w:sz w:val="22"/>
          <w:szCs w:val="20"/>
        </w:rPr>
        <w:t xml:space="preserve"> Services</w:t>
      </w:r>
      <w:r w:rsidRPr="00C063C4">
        <w:rPr>
          <w:rFonts w:ascii="Arial" w:hAnsi="Arial" w:cs="Arial"/>
          <w:sz w:val="22"/>
          <w:szCs w:val="20"/>
        </w:rPr>
        <w:t xml:space="preserve"> will be bil</w:t>
      </w:r>
      <w:r w:rsidR="00340F8C">
        <w:rPr>
          <w:rFonts w:ascii="Arial" w:hAnsi="Arial" w:cs="Arial"/>
          <w:sz w:val="22"/>
          <w:szCs w:val="20"/>
        </w:rPr>
        <w:t xml:space="preserve">led for the prescriptions. </w:t>
      </w:r>
    </w:p>
    <w:p w:rsidR="00340F8C" w:rsidRDefault="00340F8C" w:rsidP="00340F8C">
      <w:pPr>
        <w:pStyle w:val="ListParagraph"/>
        <w:rPr>
          <w:rFonts w:ascii="Arial" w:hAnsi="Arial" w:cs="Arial"/>
          <w:sz w:val="22"/>
          <w:szCs w:val="20"/>
        </w:rPr>
      </w:pPr>
    </w:p>
    <w:p w:rsidR="00340F8C" w:rsidRDefault="00340F8C" w:rsidP="00340F8C">
      <w:pPr>
        <w:autoSpaceDE w:val="0"/>
        <w:autoSpaceDN w:val="0"/>
        <w:adjustRightInd w:val="0"/>
        <w:rPr>
          <w:rFonts w:ascii="Arial" w:hAnsi="Arial" w:cs="Arial"/>
          <w:sz w:val="22"/>
          <w:szCs w:val="20"/>
        </w:rPr>
      </w:pPr>
    </w:p>
    <w:p w:rsidR="00340F8C" w:rsidRDefault="00340F8C" w:rsidP="00340F8C">
      <w:pPr>
        <w:autoSpaceDE w:val="0"/>
        <w:autoSpaceDN w:val="0"/>
        <w:adjustRightInd w:val="0"/>
        <w:rPr>
          <w:rFonts w:ascii="Arial" w:hAnsi="Arial" w:cs="Arial"/>
          <w:sz w:val="22"/>
          <w:szCs w:val="20"/>
        </w:rPr>
      </w:pPr>
    </w:p>
    <w:p w:rsidR="00340F8C" w:rsidRDefault="00340F8C" w:rsidP="00340F8C">
      <w:pPr>
        <w:autoSpaceDE w:val="0"/>
        <w:autoSpaceDN w:val="0"/>
        <w:adjustRightInd w:val="0"/>
        <w:rPr>
          <w:rFonts w:ascii="Arial" w:hAnsi="Arial" w:cs="Arial"/>
          <w:sz w:val="22"/>
          <w:szCs w:val="20"/>
        </w:rPr>
      </w:pPr>
    </w:p>
    <w:p w:rsidR="00340F8C" w:rsidRPr="00C063C4" w:rsidRDefault="00C85661" w:rsidP="00340F8C">
      <w:pPr>
        <w:autoSpaceDE w:val="0"/>
        <w:autoSpaceDN w:val="0"/>
        <w:adjustRightInd w:val="0"/>
        <w:rPr>
          <w:rFonts w:ascii="Arial" w:hAnsi="Arial" w:cs="Arial"/>
          <w:sz w:val="22"/>
          <w:szCs w:val="20"/>
        </w:rPr>
      </w:pPr>
      <w:r>
        <w:rPr>
          <w:rFonts w:ascii="Arial" w:hAnsi="Arial" w:cs="Arial"/>
          <w:sz w:val="22"/>
          <w:szCs w:val="20"/>
        </w:rPr>
        <w:t>Updated 3</w:t>
      </w:r>
      <w:r w:rsidR="00340F8C">
        <w:rPr>
          <w:rFonts w:ascii="Arial" w:hAnsi="Arial" w:cs="Arial"/>
          <w:sz w:val="22"/>
          <w:szCs w:val="20"/>
        </w:rPr>
        <w:t>\14</w:t>
      </w:r>
    </w:p>
    <w:p w:rsidR="00517220" w:rsidRPr="00C063C4" w:rsidRDefault="00517220">
      <w:pPr>
        <w:rPr>
          <w:rFonts w:ascii="Arial" w:hAnsi="Arial" w:cs="Arial"/>
        </w:rPr>
      </w:pPr>
    </w:p>
    <w:sectPr w:rsidR="00517220" w:rsidRPr="00C063C4" w:rsidSect="00376049">
      <w:footerReference w:type="default" r:id="rId7"/>
      <w:pgSz w:w="12240" w:h="15840"/>
      <w:pgMar w:top="720" w:right="432" w:bottom="72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DED" w:rsidRDefault="001B1DED">
      <w:r>
        <w:separator/>
      </w:r>
    </w:p>
  </w:endnote>
  <w:endnote w:type="continuationSeparator" w:id="0">
    <w:p w:rsidR="001B1DED" w:rsidRDefault="001B1D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FF" w:rsidRDefault="003051FF">
    <w:pPr>
      <w:pStyle w:val="Footer"/>
      <w:rPr>
        <w:sz w:val="16"/>
      </w:rPr>
    </w:pPr>
  </w:p>
  <w:p w:rsidR="00517220" w:rsidRDefault="004B20D8">
    <w:pPr>
      <w:pStyle w:val="Footer"/>
      <w:rPr>
        <w:sz w:val="16"/>
      </w:rPr>
    </w:pPr>
    <w:r>
      <w:rPr>
        <w:sz w:val="16"/>
      </w:rPr>
      <w:fldChar w:fldCharType="begin"/>
    </w:r>
    <w:r w:rsidR="003051FF">
      <w:rPr>
        <w:sz w:val="16"/>
      </w:rPr>
      <w:instrText xml:space="preserve"> DATE \@ "M/d/yyyy" </w:instrText>
    </w:r>
    <w:r>
      <w:rPr>
        <w:sz w:val="16"/>
      </w:rPr>
      <w:fldChar w:fldCharType="separate"/>
    </w:r>
    <w:r w:rsidR="00FA299E">
      <w:rPr>
        <w:noProof/>
        <w:sz w:val="16"/>
      </w:rPr>
      <w:t>3/26/2014</w:t>
    </w:r>
    <w:r>
      <w:rPr>
        <w:sz w:val="16"/>
      </w:rPr>
      <w:fldChar w:fldCharType="end"/>
    </w:r>
    <w:r w:rsidR="00517220">
      <w:rPr>
        <w:sz w:val="16"/>
      </w:rPr>
      <w:tab/>
    </w:r>
    <w:r w:rsidR="00517220">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DED" w:rsidRDefault="001B1DED">
      <w:r>
        <w:separator/>
      </w:r>
    </w:p>
  </w:footnote>
  <w:footnote w:type="continuationSeparator" w:id="0">
    <w:p w:rsidR="001B1DED" w:rsidRDefault="001B1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3426B"/>
    <w:multiLevelType w:val="hybridMultilevel"/>
    <w:tmpl w:val="98545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B87996"/>
    <w:rsid w:val="00050DEB"/>
    <w:rsid w:val="000A1A6C"/>
    <w:rsid w:val="000A6B1A"/>
    <w:rsid w:val="0014708C"/>
    <w:rsid w:val="00187F7A"/>
    <w:rsid w:val="001B1DED"/>
    <w:rsid w:val="003051FF"/>
    <w:rsid w:val="00340F8C"/>
    <w:rsid w:val="00376049"/>
    <w:rsid w:val="004B20D8"/>
    <w:rsid w:val="004E3473"/>
    <w:rsid w:val="00517220"/>
    <w:rsid w:val="00544A29"/>
    <w:rsid w:val="005769BE"/>
    <w:rsid w:val="005E7FF6"/>
    <w:rsid w:val="00622549"/>
    <w:rsid w:val="00630818"/>
    <w:rsid w:val="00635CD6"/>
    <w:rsid w:val="00636DEB"/>
    <w:rsid w:val="00656EC1"/>
    <w:rsid w:val="006E30E1"/>
    <w:rsid w:val="007B6721"/>
    <w:rsid w:val="007E441E"/>
    <w:rsid w:val="00860686"/>
    <w:rsid w:val="008B1B06"/>
    <w:rsid w:val="008E3A73"/>
    <w:rsid w:val="008F5815"/>
    <w:rsid w:val="009E134C"/>
    <w:rsid w:val="00B87996"/>
    <w:rsid w:val="00BA4E08"/>
    <w:rsid w:val="00BB5C53"/>
    <w:rsid w:val="00BD14A6"/>
    <w:rsid w:val="00BD4AE6"/>
    <w:rsid w:val="00C063C4"/>
    <w:rsid w:val="00C72DD5"/>
    <w:rsid w:val="00C825E1"/>
    <w:rsid w:val="00C85661"/>
    <w:rsid w:val="00D37DA0"/>
    <w:rsid w:val="00E50261"/>
    <w:rsid w:val="00E629D1"/>
    <w:rsid w:val="00EE75D9"/>
    <w:rsid w:val="00F31117"/>
    <w:rsid w:val="00FA299E"/>
    <w:rsid w:val="00FD10DA"/>
    <w:rsid w:val="00FE6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5E1"/>
    <w:rPr>
      <w:sz w:val="24"/>
      <w:szCs w:val="24"/>
    </w:rPr>
  </w:style>
  <w:style w:type="paragraph" w:styleId="Heading1">
    <w:name w:val="heading 1"/>
    <w:basedOn w:val="Normal"/>
    <w:next w:val="Normal"/>
    <w:qFormat/>
    <w:rsid w:val="00C825E1"/>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825E1"/>
    <w:pPr>
      <w:ind w:left="720"/>
    </w:pPr>
  </w:style>
  <w:style w:type="paragraph" w:styleId="BodyText">
    <w:name w:val="Body Text"/>
    <w:basedOn w:val="Normal"/>
    <w:rsid w:val="00C825E1"/>
    <w:rPr>
      <w:sz w:val="22"/>
    </w:rPr>
  </w:style>
  <w:style w:type="paragraph" w:styleId="Header">
    <w:name w:val="header"/>
    <w:basedOn w:val="Normal"/>
    <w:rsid w:val="00C825E1"/>
    <w:pPr>
      <w:tabs>
        <w:tab w:val="center" w:pos="4320"/>
        <w:tab w:val="right" w:pos="8640"/>
      </w:tabs>
    </w:pPr>
  </w:style>
  <w:style w:type="paragraph" w:styleId="Footer">
    <w:name w:val="footer"/>
    <w:basedOn w:val="Normal"/>
    <w:rsid w:val="00C825E1"/>
    <w:pPr>
      <w:tabs>
        <w:tab w:val="center" w:pos="4320"/>
        <w:tab w:val="right" w:pos="8640"/>
      </w:tabs>
    </w:pPr>
  </w:style>
  <w:style w:type="paragraph" w:styleId="BalloonText">
    <w:name w:val="Balloon Text"/>
    <w:basedOn w:val="Normal"/>
    <w:link w:val="BalloonTextChar"/>
    <w:rsid w:val="00622549"/>
    <w:rPr>
      <w:rFonts w:ascii="Tahoma" w:hAnsi="Tahoma" w:cs="Tahoma"/>
      <w:sz w:val="16"/>
      <w:szCs w:val="16"/>
    </w:rPr>
  </w:style>
  <w:style w:type="character" w:customStyle="1" w:styleId="BalloonTextChar">
    <w:name w:val="Balloon Text Char"/>
    <w:basedOn w:val="DefaultParagraphFont"/>
    <w:link w:val="BalloonText"/>
    <w:rsid w:val="00622549"/>
    <w:rPr>
      <w:rFonts w:ascii="Tahoma" w:hAnsi="Tahoma" w:cs="Tahoma"/>
      <w:sz w:val="16"/>
      <w:szCs w:val="16"/>
    </w:rPr>
  </w:style>
  <w:style w:type="paragraph" w:styleId="ListParagraph">
    <w:name w:val="List Paragraph"/>
    <w:basedOn w:val="Normal"/>
    <w:uiPriority w:val="34"/>
    <w:qFormat/>
    <w:rsid w:val="00340F8C"/>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Policy on Post-Exposure Prophylaxis for Student Traveling Abroad</vt:lpstr>
    </vt:vector>
  </TitlesOfParts>
  <Company>UMass Memorial Health Care</Company>
  <LinksUpToDate>false</LinksUpToDate>
  <CharactersWithSpaces>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Post-Exposure Prophylaxis for Student Traveling Abroad</dc:title>
  <dc:subject/>
  <dc:creator>McClureK</dc:creator>
  <cp:keywords/>
  <dc:description/>
  <cp:lastModifiedBy>davisl</cp:lastModifiedBy>
  <cp:revision>2</cp:revision>
  <cp:lastPrinted>2011-02-01T15:29:00Z</cp:lastPrinted>
  <dcterms:created xsi:type="dcterms:W3CDTF">2014-03-26T19:10:00Z</dcterms:created>
  <dcterms:modified xsi:type="dcterms:W3CDTF">2014-03-26T19:10:00Z</dcterms:modified>
</cp:coreProperties>
</file>